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47287">
        <w:rPr>
          <w:rFonts w:ascii="Calibri" w:hAnsi="Calibri"/>
        </w:rPr>
        <w:t>ENG7</w:t>
      </w:r>
      <w:r w:rsidRPr="007A395D">
        <w:rPr>
          <w:rFonts w:ascii="Calibri" w:hAnsi="Calibri"/>
        </w:rPr>
        <w:t>-</w:t>
      </w:r>
      <w:r w:rsidR="003D609A">
        <w:rPr>
          <w:rFonts w:ascii="Calibri" w:hAnsi="Calibri"/>
        </w:rPr>
        <w:t>10.23</w:t>
      </w:r>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80294B" w:rsidP="00F36489">
      <w:pPr>
        <w:pStyle w:val="BodyText"/>
        <w:rPr>
          <w:b/>
        </w:rPr>
      </w:pPr>
      <w:r w:rsidRPr="007A395D">
        <w:rPr>
          <w:b/>
        </w:rPr>
        <w:t>□</w:t>
      </w:r>
      <w:r w:rsidRPr="007A395D">
        <w:t xml:space="preserve">  ARM</w:t>
      </w:r>
      <w:r w:rsidR="00037DF4" w:rsidRPr="007A395D">
        <w:tab/>
      </w:r>
      <w:r w:rsidR="00127DB0">
        <w:tab/>
      </w:r>
      <w:r w:rsidR="000D7C58" w:rsidRPr="001A6057">
        <w:rPr>
          <w:rFonts w:ascii="Batang" w:hAnsi="Batang" w:hint="eastAsia"/>
          <w:b/>
          <w:lang w:eastAsia="ko-KR"/>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0D7C58" w:rsidRPr="001A6057">
        <w:rPr>
          <w:rFonts w:ascii="Batang" w:hAnsi="Batang" w:hint="eastAsia"/>
          <w:b/>
          <w:lang w:eastAsia="ko-KR"/>
        </w:rPr>
        <w:t>■</w:t>
      </w:r>
      <w:r w:rsidRPr="007A395D">
        <w:t xml:space="preserve">  Input</w:t>
      </w:r>
    </w:p>
    <w:p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1C44A3" w:rsidRPr="007A395D">
        <w:tab/>
      </w:r>
      <w:r w:rsidR="00CC2DCC">
        <w:t>(from agenda)</w:t>
      </w:r>
      <w:r w:rsidR="00CC2DCC">
        <w:tab/>
      </w:r>
      <w:r w:rsidR="0080294B" w:rsidRPr="007A395D">
        <w:tab/>
      </w:r>
      <w:r w:rsidR="0080294B" w:rsidRPr="007A395D">
        <w:tab/>
      </w:r>
      <w:r w:rsidR="003D609A">
        <w:t>10</w:t>
      </w:r>
    </w:p>
    <w:p w:rsidR="00677FAA" w:rsidRDefault="00677FAA" w:rsidP="00677FAA">
      <w:pPr>
        <w:pStyle w:val="BodyText"/>
      </w:pPr>
      <w:r>
        <w:t xml:space="preserve">Workplan </w:t>
      </w:r>
      <w:r w:rsidRPr="007A395D">
        <w:t>Task Number</w:t>
      </w:r>
      <w:r>
        <w:t xml:space="preserve"> / Technical Domain</w:t>
      </w:r>
      <w:r w:rsidRPr="007A395D">
        <w:t xml:space="preserve"> </w:t>
      </w:r>
      <w:r w:rsidRPr="007A395D">
        <w:tab/>
        <w:t>…………………………………</w:t>
      </w:r>
    </w:p>
    <w:p w:rsidR="00677FAA" w:rsidRPr="007A395D" w:rsidRDefault="00677FAA" w:rsidP="00677FAA">
      <w:pPr>
        <w:pStyle w:val="BodyText"/>
      </w:pPr>
      <w:r>
        <w:t>Working Group</w:t>
      </w:r>
      <w:r>
        <w:tab/>
      </w:r>
      <w:r>
        <w:tab/>
      </w:r>
      <w:r>
        <w:tab/>
      </w:r>
      <w:r>
        <w:tab/>
      </w:r>
      <w:r>
        <w:tab/>
      </w:r>
      <w:r w:rsidR="00CC2DCC">
        <w:t>WG</w:t>
      </w:r>
      <w:r w:rsidR="003D609A">
        <w:t>2</w:t>
      </w:r>
      <w:r w:rsidR="00CC2DCC">
        <w:t xml:space="preserve"> </w:t>
      </w:r>
    </w:p>
    <w:p w:rsidR="0080294B" w:rsidRDefault="00362CD9" w:rsidP="00F36489">
      <w:pPr>
        <w:pStyle w:val="BodyText"/>
        <w:rPr>
          <w:lang w:eastAsia="ko-KR"/>
        </w:rPr>
      </w:pPr>
      <w:r w:rsidRPr="007A395D">
        <w:t>Author(s)</w:t>
      </w:r>
      <w:r w:rsidR="00FE5674" w:rsidRPr="007A395D">
        <w:t xml:space="preserve"> / Submitter(s)</w:t>
      </w:r>
      <w:r w:rsidRPr="007A395D">
        <w:tab/>
      </w:r>
      <w:r w:rsidR="0080294B" w:rsidRPr="007A395D">
        <w:tab/>
      </w:r>
      <w:r w:rsidR="0080294B" w:rsidRPr="007A395D">
        <w:tab/>
      </w:r>
      <w:r w:rsidR="00677FAA">
        <w:tab/>
      </w:r>
      <w:r w:rsidR="000D7C58" w:rsidRPr="001A6057">
        <w:rPr>
          <w:rFonts w:hint="eastAsia"/>
          <w:lang w:eastAsia="ko-KR"/>
        </w:rPr>
        <w:t xml:space="preserve">Prof. </w:t>
      </w:r>
      <w:r w:rsidR="000D7C58" w:rsidRPr="001A6057">
        <w:rPr>
          <w:lang w:eastAsia="ko-KR"/>
        </w:rPr>
        <w:t>Mr</w:t>
      </w:r>
      <w:r w:rsidR="000D7C58">
        <w:rPr>
          <w:rFonts w:hint="eastAsia"/>
          <w:lang w:eastAsia="ko-KR"/>
        </w:rPr>
        <w:t>. Kim Jongh</w:t>
      </w:r>
      <w:r w:rsidR="000D7C58" w:rsidRPr="001A6057">
        <w:rPr>
          <w:rFonts w:hint="eastAsia"/>
          <w:lang w:eastAsia="ko-KR"/>
        </w:rPr>
        <w:t>un</w:t>
      </w:r>
    </w:p>
    <w:p w:rsidR="000D7C58" w:rsidRPr="007A395D" w:rsidRDefault="000D7C58" w:rsidP="00F36489">
      <w:pPr>
        <w:pStyle w:val="BodyText"/>
      </w:pPr>
    </w:p>
    <w:p w:rsidR="000D7C58" w:rsidRDefault="000D7C58" w:rsidP="000D7C58">
      <w:pPr>
        <w:pStyle w:val="Title"/>
        <w:rPr>
          <w:color w:val="00558C"/>
          <w:sz w:val="24"/>
          <w:lang w:eastAsia="ko-KR"/>
        </w:rPr>
      </w:pPr>
      <w:r w:rsidRPr="00367A18">
        <w:rPr>
          <w:rFonts w:hint="eastAsia"/>
          <w:color w:val="00558C"/>
          <w:sz w:val="24"/>
        </w:rPr>
        <w:t xml:space="preserve">The 2nd Meeting of Incheon Declaration </w:t>
      </w:r>
      <w:bookmarkStart w:id="0" w:name="_GoBack"/>
      <w:bookmarkEnd w:id="0"/>
      <w:r w:rsidRPr="00367A18">
        <w:rPr>
          <w:color w:val="00558C"/>
          <w:sz w:val="24"/>
        </w:rPr>
        <w:t>Committee:</w:t>
      </w:r>
      <w:r w:rsidRPr="00367A18">
        <w:rPr>
          <w:rFonts w:hint="eastAsia"/>
          <w:color w:val="00558C"/>
          <w:sz w:val="24"/>
        </w:rPr>
        <w:t xml:space="preserve"> </w:t>
      </w:r>
      <w:r w:rsidR="00367A18">
        <w:rPr>
          <w:rFonts w:hint="eastAsia"/>
          <w:color w:val="00558C"/>
          <w:sz w:val="24"/>
          <w:lang w:eastAsia="ko-KR"/>
        </w:rPr>
        <w:t>t</w:t>
      </w:r>
      <w:r w:rsidR="00367A18" w:rsidRPr="00367A18">
        <w:rPr>
          <w:rFonts w:hint="eastAsia"/>
          <w:color w:val="00558C"/>
          <w:sz w:val="24"/>
          <w:lang w:eastAsia="ko-KR"/>
        </w:rPr>
        <w:t>he status of provision and promotion</w:t>
      </w:r>
    </w:p>
    <w:p w:rsidR="00391ADB" w:rsidRPr="00367A18" w:rsidRDefault="00391ADB" w:rsidP="000D7C58">
      <w:pPr>
        <w:pStyle w:val="Title"/>
        <w:rPr>
          <w:color w:val="00558C"/>
          <w:sz w:val="24"/>
          <w:lang w:eastAsia="ko-KR"/>
        </w:rPr>
      </w:pPr>
    </w:p>
    <w:p w:rsidR="00A446C9" w:rsidRPr="000D7C58" w:rsidRDefault="00391ADB" w:rsidP="00A36B6B">
      <w:pPr>
        <w:pStyle w:val="Heading1"/>
        <w:numPr>
          <w:ilvl w:val="0"/>
          <w:numId w:val="14"/>
        </w:numPr>
        <w:ind w:left="357" w:hanging="357"/>
        <w:rPr>
          <w:rFonts w:cs="Times New Roman"/>
          <w:lang w:eastAsia="ko-KR"/>
        </w:rPr>
      </w:pPr>
      <w:r>
        <w:rPr>
          <w:rFonts w:cs="Times New Roman" w:hint="eastAsia"/>
          <w:lang w:eastAsia="ko-KR"/>
        </w:rPr>
        <w:t>INTRODUCTION</w:t>
      </w:r>
    </w:p>
    <w:p w:rsidR="000D7C58" w:rsidRDefault="00E0266B" w:rsidP="0056122B">
      <w:pPr>
        <w:pStyle w:val="BodyText"/>
        <w:ind w:firstLineChars="50" w:firstLine="110"/>
        <w:rPr>
          <w:lang w:eastAsia="ko-KR"/>
        </w:rPr>
      </w:pPr>
      <w:r>
        <w:rPr>
          <w:rFonts w:hint="eastAsia"/>
          <w:lang w:eastAsia="ko-KR"/>
        </w:rPr>
        <w:t xml:space="preserve">Considering the </w:t>
      </w:r>
      <w:r w:rsidR="00145CC2">
        <w:rPr>
          <w:rFonts w:hint="eastAsia"/>
          <w:lang w:eastAsia="ko-KR"/>
        </w:rPr>
        <w:t>profound responsibility to promote the maritime safety and to preserve the environment of oceans at this pivotal moment in a new era of s</w:t>
      </w:r>
      <w:r>
        <w:rPr>
          <w:rFonts w:hint="eastAsia"/>
          <w:lang w:eastAsia="ko-KR"/>
        </w:rPr>
        <w:t>ustainable development, all the IALA members understand t</w:t>
      </w:r>
      <w:r w:rsidR="00145CC2">
        <w:rPr>
          <w:rFonts w:hint="eastAsia"/>
          <w:lang w:eastAsia="ko-KR"/>
        </w:rPr>
        <w:t xml:space="preserve">he main purpose of </w:t>
      </w:r>
      <w:r>
        <w:rPr>
          <w:rFonts w:hint="eastAsia"/>
          <w:lang w:eastAsia="ko-KR"/>
        </w:rPr>
        <w:t>Incheon D</w:t>
      </w:r>
      <w:r w:rsidR="00145CC2">
        <w:rPr>
          <w:rFonts w:hint="eastAsia"/>
          <w:lang w:eastAsia="ko-KR"/>
        </w:rPr>
        <w:t>ecl</w:t>
      </w:r>
      <w:r w:rsidR="0056122B">
        <w:rPr>
          <w:rFonts w:hint="eastAsia"/>
          <w:lang w:eastAsia="ko-KR"/>
        </w:rPr>
        <w:t>a</w:t>
      </w:r>
      <w:r w:rsidR="00145CC2">
        <w:rPr>
          <w:rFonts w:hint="eastAsia"/>
          <w:lang w:eastAsia="ko-KR"/>
        </w:rPr>
        <w:t>ra</w:t>
      </w:r>
      <w:r>
        <w:rPr>
          <w:rFonts w:hint="eastAsia"/>
          <w:lang w:eastAsia="ko-KR"/>
        </w:rPr>
        <w:t xml:space="preserve">tion </w:t>
      </w:r>
      <w:r w:rsidR="00145CC2">
        <w:rPr>
          <w:rFonts w:hint="eastAsia"/>
          <w:lang w:eastAsia="ko-KR"/>
        </w:rPr>
        <w:t xml:space="preserve">to </w:t>
      </w:r>
      <w:r w:rsidR="00DD6AC2">
        <w:rPr>
          <w:rFonts w:hint="eastAsia"/>
          <w:lang w:eastAsia="ko-KR"/>
        </w:rPr>
        <w:t>recognize historic lighthouses their equipments and other aids to navigation as world heritage.</w:t>
      </w:r>
      <w:r w:rsidR="0056122B">
        <w:rPr>
          <w:rFonts w:hint="eastAsia"/>
          <w:lang w:eastAsia="ko-KR"/>
        </w:rPr>
        <w:t xml:space="preserve"> </w:t>
      </w:r>
      <w:r w:rsidR="0056122B" w:rsidRPr="0056122B">
        <w:rPr>
          <w:lang w:eastAsia="ko-KR"/>
        </w:rPr>
        <w:t xml:space="preserve">In this respect the Incheon Declaration will encourage </w:t>
      </w:r>
      <w:r w:rsidR="0056122B">
        <w:rPr>
          <w:rFonts w:hint="eastAsia"/>
          <w:lang w:eastAsia="ko-KR"/>
        </w:rPr>
        <w:t xml:space="preserve">our </w:t>
      </w:r>
      <w:r w:rsidR="0056122B" w:rsidRPr="0056122B">
        <w:rPr>
          <w:lang w:eastAsia="ko-KR"/>
        </w:rPr>
        <w:t>efforts for the preservation and sustainable management of historic lighthouses as world heritage, and create an international consensus in support of the content of the document.</w:t>
      </w:r>
    </w:p>
    <w:p w:rsidR="007A60B6" w:rsidRPr="00391ADB" w:rsidRDefault="00391ADB" w:rsidP="00391ADB">
      <w:pPr>
        <w:pStyle w:val="Heading1"/>
        <w:numPr>
          <w:ilvl w:val="0"/>
          <w:numId w:val="14"/>
        </w:numPr>
        <w:ind w:left="357" w:hanging="357"/>
        <w:rPr>
          <w:rFonts w:cs="Times New Roman"/>
          <w:lang w:eastAsia="ko-KR"/>
        </w:rPr>
      </w:pPr>
      <w:r>
        <w:rPr>
          <w:rFonts w:cs="Times New Roman" w:hint="eastAsia"/>
          <w:lang w:eastAsia="ko-KR"/>
        </w:rPr>
        <w:t xml:space="preserve">LAST MEETING REPORT AND </w:t>
      </w:r>
      <w:r w:rsidR="008D6B44">
        <w:rPr>
          <w:rFonts w:cs="Times New Roman" w:hint="eastAsia"/>
          <w:lang w:eastAsia="ko-KR"/>
        </w:rPr>
        <w:t>activities</w:t>
      </w:r>
    </w:p>
    <w:p w:rsidR="007A60B6" w:rsidRDefault="00D52C4F" w:rsidP="00367A18">
      <w:pPr>
        <w:pStyle w:val="BodyText"/>
        <w:ind w:firstLineChars="50" w:firstLine="110"/>
        <w:rPr>
          <w:lang w:eastAsia="ko-KR"/>
        </w:rPr>
      </w:pPr>
      <w:r>
        <w:rPr>
          <w:rFonts w:hint="eastAsia"/>
        </w:rPr>
        <w:t>The 1</w:t>
      </w:r>
      <w:r w:rsidRPr="000D7C58">
        <w:rPr>
          <w:rFonts w:hint="eastAsia"/>
        </w:rPr>
        <w:t>st</w:t>
      </w:r>
      <w:r>
        <w:rPr>
          <w:rFonts w:hint="eastAsia"/>
        </w:rPr>
        <w:t xml:space="preserve"> Meeting of Incheon Declaration Committee was held in last March and appointed Professor </w:t>
      </w:r>
      <w:r>
        <w:t>Kim Jong</w:t>
      </w:r>
      <w:r>
        <w:rPr>
          <w:rFonts w:hint="eastAsia"/>
        </w:rPr>
        <w:t>h</w:t>
      </w:r>
      <w:r>
        <w:t>un</w:t>
      </w:r>
      <w:r>
        <w:rPr>
          <w:rFonts w:hint="eastAsia"/>
        </w:rPr>
        <w:t xml:space="preserve"> (PAI JAI UNIV.) as chairman and also Neil Jones, PR and Record Manger of Trinity House, was assumed as an </w:t>
      </w:r>
      <w:r w:rsidRPr="00FF728A">
        <w:t>assistant administrator</w:t>
      </w:r>
      <w:r w:rsidR="00771258">
        <w:rPr>
          <w:rFonts w:hint="eastAsia"/>
          <w:lang w:eastAsia="ko-KR"/>
        </w:rPr>
        <w:t xml:space="preserve"> Mr.</w:t>
      </w:r>
      <w:r>
        <w:rPr>
          <w:rFonts w:hint="eastAsia"/>
        </w:rPr>
        <w:t xml:space="preserve"> Bae Yongch</w:t>
      </w:r>
      <w:r w:rsidR="005C3A1A">
        <w:rPr>
          <w:rFonts w:hint="eastAsia"/>
          <w:lang w:eastAsia="ko-KR"/>
        </w:rPr>
        <w:t>a</w:t>
      </w:r>
      <w:r>
        <w:rPr>
          <w:rFonts w:hint="eastAsia"/>
        </w:rPr>
        <w:t>n(Korea), Ms. Marisa Marco(Spain), Mr. Santiago Tortosa(Spain)</w:t>
      </w:r>
      <w:r>
        <w:rPr>
          <w:rFonts w:hint="eastAsia"/>
          <w:lang w:eastAsia="ko-KR"/>
        </w:rPr>
        <w:t xml:space="preserve"> and</w:t>
      </w:r>
      <w:r>
        <w:rPr>
          <w:rFonts w:hint="eastAsia"/>
        </w:rPr>
        <w:t>, Ms. Ingvild Kragset(Norway)</w:t>
      </w:r>
      <w:r>
        <w:t xml:space="preserve"> </w:t>
      </w:r>
      <w:r>
        <w:rPr>
          <w:rFonts w:hint="eastAsia"/>
        </w:rPr>
        <w:t xml:space="preserve">were the members of the </w:t>
      </w:r>
      <w:r>
        <w:t>committee</w:t>
      </w:r>
      <w:r>
        <w:rPr>
          <w:rFonts w:hint="eastAsia"/>
        </w:rPr>
        <w:t>.</w:t>
      </w:r>
    </w:p>
    <w:p w:rsidR="007A60B6" w:rsidRDefault="007A60B6" w:rsidP="00373D28">
      <w:pPr>
        <w:pStyle w:val="BodyText"/>
        <w:ind w:firstLineChars="50" w:firstLine="110"/>
        <w:rPr>
          <w:lang w:eastAsia="ko-KR"/>
        </w:rPr>
      </w:pPr>
      <w:r>
        <w:rPr>
          <w:rFonts w:hint="eastAsia"/>
          <w:lang w:eastAsia="ko-KR"/>
        </w:rPr>
        <w:t xml:space="preserve"> (1</w:t>
      </w:r>
      <w:r w:rsidRPr="000D7C58">
        <w:rPr>
          <w:rFonts w:hint="eastAsia"/>
          <w:lang w:eastAsia="ko-KR"/>
        </w:rPr>
        <w:t>st</w:t>
      </w:r>
      <w:r>
        <w:rPr>
          <w:rFonts w:hint="eastAsia"/>
          <w:lang w:eastAsia="ko-KR"/>
        </w:rPr>
        <w:t xml:space="preserve"> Draft) MOF prepared the</w:t>
      </w:r>
      <w:r w:rsidR="008D6B44">
        <w:rPr>
          <w:rFonts w:hint="eastAsia"/>
          <w:lang w:eastAsia="ko-KR"/>
        </w:rPr>
        <w:t xml:space="preserve"> </w:t>
      </w:r>
      <w:r>
        <w:rPr>
          <w:rFonts w:hint="eastAsia"/>
          <w:lang w:eastAsia="ko-KR"/>
        </w:rPr>
        <w:t xml:space="preserve">Draft of Incheon Declaration and the Committee </w:t>
      </w:r>
      <w:r w:rsidR="008D6B44">
        <w:rPr>
          <w:rFonts w:hint="eastAsia"/>
          <w:lang w:eastAsia="ko-KR"/>
        </w:rPr>
        <w:t>discussed</w:t>
      </w:r>
      <w:r>
        <w:rPr>
          <w:rFonts w:hint="eastAsia"/>
          <w:lang w:eastAsia="ko-KR"/>
        </w:rPr>
        <w:t xml:space="preserve"> </w:t>
      </w:r>
      <w:r w:rsidR="008D6B44">
        <w:rPr>
          <w:rFonts w:hint="eastAsia"/>
          <w:lang w:eastAsia="ko-KR"/>
        </w:rPr>
        <w:t xml:space="preserve">and reviewed </w:t>
      </w:r>
      <w:r>
        <w:rPr>
          <w:rFonts w:hint="eastAsia"/>
          <w:lang w:eastAsia="ko-KR"/>
        </w:rPr>
        <w:t xml:space="preserve">the </w:t>
      </w:r>
      <w:r w:rsidR="008D6B44">
        <w:rPr>
          <w:rFonts w:hint="eastAsia"/>
          <w:lang w:eastAsia="ko-KR"/>
        </w:rPr>
        <w:t xml:space="preserve">each paragraph of </w:t>
      </w:r>
      <w:r>
        <w:rPr>
          <w:rFonts w:hint="eastAsia"/>
          <w:lang w:eastAsia="ko-KR"/>
        </w:rPr>
        <w:t>Incheon Declaration</w:t>
      </w:r>
      <w:r w:rsidR="008D6B44">
        <w:rPr>
          <w:rFonts w:hint="eastAsia"/>
          <w:lang w:eastAsia="ko-KR"/>
        </w:rPr>
        <w:t>.</w:t>
      </w:r>
    </w:p>
    <w:p w:rsidR="007A60B6" w:rsidRDefault="008D6B44" w:rsidP="00373D28">
      <w:pPr>
        <w:pStyle w:val="BodyText"/>
        <w:ind w:firstLineChars="50" w:firstLine="110"/>
        <w:rPr>
          <w:lang w:eastAsia="ko-KR"/>
        </w:rPr>
      </w:pPr>
      <w:r w:rsidRPr="008D6B44">
        <w:rPr>
          <w:lang w:eastAsia="ko-KR"/>
        </w:rPr>
        <w:t xml:space="preserve">(2nd Draft) The 18th IALA LAP(Legal Advisory Panel) reviewed and amended the 1st </w:t>
      </w:r>
      <w:r>
        <w:rPr>
          <w:rFonts w:hint="eastAsia"/>
          <w:lang w:eastAsia="ko-KR"/>
        </w:rPr>
        <w:t>draft</w:t>
      </w:r>
      <w:r w:rsidRPr="008D6B44">
        <w:rPr>
          <w:lang w:eastAsia="ko-KR"/>
        </w:rPr>
        <w:t xml:space="preserve"> in April 2017.</w:t>
      </w:r>
    </w:p>
    <w:p w:rsidR="00D52C4F" w:rsidRPr="008D6B44" w:rsidRDefault="008D6B44" w:rsidP="00373D28">
      <w:pPr>
        <w:pStyle w:val="BodyText"/>
        <w:ind w:firstLineChars="50" w:firstLine="110"/>
        <w:rPr>
          <w:lang w:eastAsia="ko-KR"/>
        </w:rPr>
      </w:pPr>
      <w:r w:rsidRPr="008D6B44">
        <w:rPr>
          <w:lang w:eastAsia="ko-KR"/>
        </w:rPr>
        <w:t xml:space="preserve">(3rd Draft) The 64th IALA Council reviewed and amended the 2nd </w:t>
      </w:r>
      <w:r w:rsidR="00DA5DE4">
        <w:rPr>
          <w:rFonts w:hint="eastAsia"/>
          <w:lang w:eastAsia="ko-KR"/>
        </w:rPr>
        <w:t>daf</w:t>
      </w:r>
      <w:r>
        <w:rPr>
          <w:rFonts w:hint="eastAsia"/>
          <w:lang w:eastAsia="ko-KR"/>
        </w:rPr>
        <w:t xml:space="preserve">t </w:t>
      </w:r>
      <w:r w:rsidRPr="008D6B44">
        <w:rPr>
          <w:lang w:eastAsia="ko-KR"/>
        </w:rPr>
        <w:t>in June 2017.</w:t>
      </w:r>
    </w:p>
    <w:p w:rsidR="00D52C4F" w:rsidRPr="00391ADB" w:rsidRDefault="00391ADB" w:rsidP="00391ADB">
      <w:pPr>
        <w:pStyle w:val="Heading1"/>
        <w:numPr>
          <w:ilvl w:val="0"/>
          <w:numId w:val="14"/>
        </w:numPr>
        <w:ind w:left="357" w:hanging="357"/>
        <w:rPr>
          <w:rFonts w:cs="Times New Roman"/>
          <w:lang w:eastAsia="ko-KR"/>
        </w:rPr>
      </w:pPr>
      <w:r>
        <w:rPr>
          <w:rFonts w:cs="Times New Roman" w:hint="eastAsia"/>
          <w:lang w:eastAsia="ko-KR"/>
        </w:rPr>
        <w:t>DISCUSSIONS</w:t>
      </w:r>
    </w:p>
    <w:p w:rsidR="0067431D" w:rsidRPr="000D7C58" w:rsidRDefault="00ED0CC6" w:rsidP="00BE2265">
      <w:pPr>
        <w:pStyle w:val="BodyText"/>
        <w:ind w:firstLineChars="50" w:firstLine="110"/>
        <w:rPr>
          <w:lang w:eastAsia="ko-KR"/>
        </w:rPr>
      </w:pPr>
      <w:r>
        <w:rPr>
          <w:rFonts w:hint="eastAsia"/>
          <w:lang w:eastAsia="ko-KR"/>
        </w:rPr>
        <w:t xml:space="preserve">Initially it was planned that the </w:t>
      </w:r>
      <w:r>
        <w:rPr>
          <w:lang w:eastAsia="ko-KR"/>
        </w:rPr>
        <w:t>Incheon</w:t>
      </w:r>
      <w:r w:rsidR="00DA5DE4">
        <w:rPr>
          <w:rFonts w:hint="eastAsia"/>
          <w:lang w:eastAsia="ko-KR"/>
        </w:rPr>
        <w:t xml:space="preserve"> Declaration was announced</w:t>
      </w:r>
      <w:r>
        <w:rPr>
          <w:rFonts w:hint="eastAsia"/>
          <w:lang w:eastAsia="ko-KR"/>
        </w:rPr>
        <w:t xml:space="preserve"> by every IALA national member. As</w:t>
      </w:r>
      <w:r w:rsidR="0067431D" w:rsidRPr="000D7C58">
        <w:rPr>
          <w:rFonts w:hint="eastAsia"/>
        </w:rPr>
        <w:t xml:space="preserve"> the process to get agreement</w:t>
      </w:r>
      <w:r>
        <w:rPr>
          <w:rFonts w:hint="eastAsia"/>
          <w:lang w:eastAsia="ko-KR"/>
        </w:rPr>
        <w:t xml:space="preserve"> unanimously</w:t>
      </w:r>
      <w:r w:rsidR="0067431D" w:rsidRPr="000D7C58">
        <w:rPr>
          <w:rFonts w:hint="eastAsia"/>
        </w:rPr>
        <w:t xml:space="preserve"> </w:t>
      </w:r>
      <w:r>
        <w:rPr>
          <w:rFonts w:hint="eastAsia"/>
          <w:lang w:eastAsia="ko-KR"/>
        </w:rPr>
        <w:t xml:space="preserve">from all the nations takes very long time </w:t>
      </w:r>
      <w:r w:rsidR="0067431D" w:rsidRPr="000D7C58">
        <w:rPr>
          <w:rFonts w:hint="eastAsia"/>
        </w:rPr>
        <w:t xml:space="preserve">and to revise each letter of draft </w:t>
      </w:r>
      <w:r>
        <w:rPr>
          <w:rFonts w:hint="eastAsia"/>
          <w:lang w:eastAsia="ko-KR"/>
        </w:rPr>
        <w:t>is complicated, t</w:t>
      </w:r>
      <w:r w:rsidR="0067431D" w:rsidRPr="000D7C58">
        <w:rPr>
          <w:rFonts w:hint="eastAsia"/>
        </w:rPr>
        <w:t xml:space="preserve">he 64th IALA Council considered </w:t>
      </w:r>
      <w:r w:rsidR="0067431D" w:rsidRPr="000D7C58">
        <w:t>these limitations</w:t>
      </w:r>
      <w:r w:rsidR="0067431D" w:rsidRPr="000D7C58">
        <w:rPr>
          <w:rFonts w:hint="eastAsia"/>
        </w:rPr>
        <w:t xml:space="preserve"> and concluded that IALA president and </w:t>
      </w:r>
      <w:r w:rsidR="00BE2265">
        <w:rPr>
          <w:rFonts w:hint="eastAsia"/>
          <w:lang w:eastAsia="ko-KR"/>
        </w:rPr>
        <w:t xml:space="preserve">host country </w:t>
      </w:r>
      <w:r w:rsidR="00417B42">
        <w:rPr>
          <w:lang w:eastAsia="ko-KR"/>
        </w:rPr>
        <w:t>representative</w:t>
      </w:r>
      <w:r w:rsidR="00417B42" w:rsidRPr="000D7C58">
        <w:t>(</w:t>
      </w:r>
      <w:r>
        <w:rPr>
          <w:rFonts w:hint="eastAsia"/>
          <w:lang w:eastAsia="ko-KR"/>
        </w:rPr>
        <w:t>VIP</w:t>
      </w:r>
      <w:r w:rsidR="0067431D" w:rsidRPr="000D7C58">
        <w:rPr>
          <w:rFonts w:hint="eastAsia"/>
        </w:rPr>
        <w:t xml:space="preserve">) would sign it on 2nd June 2018 </w:t>
      </w:r>
      <w:r w:rsidR="00DA5DE4">
        <w:rPr>
          <w:rFonts w:hint="eastAsia"/>
          <w:lang w:eastAsia="ko-KR"/>
        </w:rPr>
        <w:t>during Conference</w:t>
      </w:r>
      <w:r w:rsidR="0067431D" w:rsidRPr="000D7C58">
        <w:rPr>
          <w:rFonts w:hint="eastAsia"/>
        </w:rPr>
        <w:t>.</w:t>
      </w:r>
      <w:r>
        <w:rPr>
          <w:rFonts w:hint="eastAsia"/>
          <w:lang w:eastAsia="ko-KR"/>
        </w:rPr>
        <w:t xml:space="preserve"> </w:t>
      </w:r>
      <w:r>
        <w:rPr>
          <w:lang w:eastAsia="ko-KR"/>
        </w:rPr>
        <w:t>I</w:t>
      </w:r>
      <w:r>
        <w:rPr>
          <w:rFonts w:hint="eastAsia"/>
          <w:lang w:eastAsia="ko-KR"/>
        </w:rPr>
        <w:t xml:space="preserve">f any member wants to adopt the </w:t>
      </w:r>
      <w:r>
        <w:rPr>
          <w:lang w:eastAsia="ko-KR"/>
        </w:rPr>
        <w:t xml:space="preserve">declaration in the future, it can be </w:t>
      </w:r>
      <w:r w:rsidR="00BE2265">
        <w:rPr>
          <w:rFonts w:hint="eastAsia"/>
          <w:lang w:eastAsia="ko-KR"/>
        </w:rPr>
        <w:t>available to adopt the contents.</w:t>
      </w:r>
    </w:p>
    <w:p w:rsidR="00670677" w:rsidRDefault="0067431D" w:rsidP="00BE2265">
      <w:pPr>
        <w:pStyle w:val="BodyText"/>
        <w:rPr>
          <w:rFonts w:cs="Arial"/>
          <w:lang w:eastAsia="ko-KR"/>
        </w:rPr>
      </w:pPr>
      <w:r w:rsidRPr="000D7C58">
        <w:rPr>
          <w:rFonts w:hint="eastAsia"/>
        </w:rPr>
        <w:t xml:space="preserve">During </w:t>
      </w:r>
      <w:r w:rsidR="00ED0CC6">
        <w:rPr>
          <w:rFonts w:hint="eastAsia"/>
          <w:lang w:eastAsia="ko-KR"/>
        </w:rPr>
        <w:t xml:space="preserve">this meeting of </w:t>
      </w:r>
      <w:r w:rsidRPr="000D7C58">
        <w:rPr>
          <w:rFonts w:hint="eastAsia"/>
        </w:rPr>
        <w:t>Committee, the</w:t>
      </w:r>
      <w:r w:rsidR="00DA5DE4">
        <w:rPr>
          <w:rFonts w:hint="eastAsia"/>
          <w:lang w:eastAsia="ko-KR"/>
        </w:rPr>
        <w:t xml:space="preserve"> </w:t>
      </w:r>
      <w:r w:rsidR="00670677">
        <w:t>revision</w:t>
      </w:r>
      <w:r w:rsidR="00670677" w:rsidRPr="000D7C58">
        <w:t xml:space="preserve"> </w:t>
      </w:r>
      <w:r w:rsidRPr="000D7C58">
        <w:t xml:space="preserve">of </w:t>
      </w:r>
      <w:r w:rsidRPr="000D7C58">
        <w:rPr>
          <w:rFonts w:hint="eastAsia"/>
        </w:rPr>
        <w:t xml:space="preserve">draft and </w:t>
      </w:r>
      <w:r w:rsidR="00670677">
        <w:rPr>
          <w:rFonts w:hint="eastAsia"/>
          <w:lang w:eastAsia="ko-KR"/>
        </w:rPr>
        <w:t xml:space="preserve">any </w:t>
      </w:r>
      <w:r w:rsidRPr="000D7C58">
        <w:rPr>
          <w:rFonts w:hint="eastAsia"/>
        </w:rPr>
        <w:t xml:space="preserve">other opinion will be </w:t>
      </w:r>
      <w:r w:rsidR="00ED0CC6">
        <w:rPr>
          <w:rFonts w:hint="eastAsia"/>
          <w:lang w:eastAsia="ko-KR"/>
        </w:rPr>
        <w:t xml:space="preserve">reviewed and </w:t>
      </w:r>
      <w:r w:rsidRPr="000D7C58">
        <w:rPr>
          <w:rFonts w:hint="eastAsia"/>
        </w:rPr>
        <w:t xml:space="preserve">discussed. </w:t>
      </w:r>
    </w:p>
    <w:p w:rsidR="00670677" w:rsidRPr="00670677" w:rsidRDefault="00670677" w:rsidP="00A36B6B">
      <w:pPr>
        <w:pStyle w:val="Heading1"/>
        <w:numPr>
          <w:ilvl w:val="0"/>
          <w:numId w:val="14"/>
        </w:numPr>
        <w:ind w:left="357" w:hanging="357"/>
        <w:rPr>
          <w:rFonts w:cs="Times New Roman"/>
          <w:lang w:eastAsia="ko-KR"/>
        </w:rPr>
      </w:pPr>
      <w:r w:rsidRPr="00670677">
        <w:rPr>
          <w:rFonts w:cs="Times New Roman" w:hint="eastAsia"/>
          <w:lang w:eastAsia="ko-KR"/>
        </w:rPr>
        <w:lastRenderedPageBreak/>
        <w:t xml:space="preserve">  Details on Declaration </w:t>
      </w:r>
    </w:p>
    <w:p w:rsidR="00670677" w:rsidRDefault="00670677" w:rsidP="00670677">
      <w:pPr>
        <w:spacing w:after="120"/>
        <w:rPr>
          <w:rFonts w:ascii="Calibri" w:hAnsi="Calibri" w:cs="Arial"/>
          <w:lang w:eastAsia="ko-KR"/>
        </w:rPr>
      </w:pPr>
      <w:r>
        <w:rPr>
          <w:rFonts w:ascii="Calibri" w:hAnsi="Calibri" w:cs="Arial" w:hint="eastAsia"/>
          <w:lang w:eastAsia="ko-KR"/>
        </w:rPr>
        <w:t>The Incheon Declaration is scheduled on 2</w:t>
      </w:r>
      <w:r w:rsidRPr="00EF2C60">
        <w:rPr>
          <w:rFonts w:ascii="Calibri" w:hAnsi="Calibri" w:cs="Arial" w:hint="eastAsia"/>
          <w:vertAlign w:val="superscript"/>
          <w:lang w:eastAsia="ko-KR"/>
        </w:rPr>
        <w:t>nd</w:t>
      </w:r>
      <w:r>
        <w:rPr>
          <w:rFonts w:ascii="Calibri" w:hAnsi="Calibri" w:cs="Arial" w:hint="eastAsia"/>
          <w:lang w:eastAsia="ko-KR"/>
        </w:rPr>
        <w:t xml:space="preserve"> June 2017 at the time of closing the 19</w:t>
      </w:r>
      <w:r w:rsidRPr="00EF2C60">
        <w:rPr>
          <w:rFonts w:ascii="Calibri" w:hAnsi="Calibri" w:cs="Arial" w:hint="eastAsia"/>
          <w:vertAlign w:val="superscript"/>
          <w:lang w:eastAsia="ko-KR"/>
        </w:rPr>
        <w:t>th</w:t>
      </w:r>
      <w:r>
        <w:rPr>
          <w:rFonts w:ascii="Calibri" w:hAnsi="Calibri" w:cs="Arial" w:hint="eastAsia"/>
          <w:lang w:eastAsia="ko-KR"/>
        </w:rPr>
        <w:t xml:space="preserve"> IALA Conference. After completing the </w:t>
      </w:r>
      <w:r w:rsidR="003653E2">
        <w:rPr>
          <w:rFonts w:ascii="Calibri" w:hAnsi="Calibri" w:cs="Arial" w:hint="eastAsia"/>
          <w:lang w:eastAsia="ko-KR"/>
        </w:rPr>
        <w:t>program</w:t>
      </w:r>
      <w:r>
        <w:rPr>
          <w:rFonts w:ascii="Calibri" w:hAnsi="Calibri" w:cs="Arial" w:hint="eastAsia"/>
          <w:lang w:eastAsia="ko-KR"/>
        </w:rPr>
        <w:t xml:space="preserve"> of the Conference, MOF will decide detailed </w:t>
      </w:r>
      <w:r w:rsidR="003653E2">
        <w:rPr>
          <w:rFonts w:ascii="Calibri" w:hAnsi="Calibri" w:cs="Arial" w:hint="eastAsia"/>
          <w:lang w:eastAsia="ko-KR"/>
        </w:rPr>
        <w:t>f</w:t>
      </w:r>
      <w:r>
        <w:rPr>
          <w:rFonts w:ascii="Calibri" w:hAnsi="Calibri" w:cs="Arial" w:hint="eastAsia"/>
          <w:lang w:eastAsia="ko-KR"/>
        </w:rPr>
        <w:t xml:space="preserve">ormal procedure of Incheon Declaration. </w:t>
      </w:r>
      <w:r>
        <w:rPr>
          <w:rFonts w:ascii="Calibri" w:hAnsi="Calibri" w:cs="Arial"/>
          <w:lang w:eastAsia="ko-KR"/>
        </w:rPr>
        <w:t>T</w:t>
      </w:r>
      <w:r>
        <w:rPr>
          <w:rFonts w:ascii="Calibri" w:hAnsi="Calibri" w:cs="Arial" w:hint="eastAsia"/>
          <w:lang w:eastAsia="ko-KR"/>
        </w:rPr>
        <w:t xml:space="preserve">he host country will </w:t>
      </w:r>
      <w:r w:rsidR="00DA5DE4">
        <w:rPr>
          <w:rFonts w:ascii="Calibri" w:hAnsi="Calibri" w:cs="Arial" w:hint="eastAsia"/>
          <w:lang w:eastAsia="ko-KR"/>
        </w:rPr>
        <w:t>create</w:t>
      </w:r>
      <w:r>
        <w:rPr>
          <w:rFonts w:ascii="Calibri" w:hAnsi="Calibri" w:cs="Arial" w:hint="eastAsia"/>
          <w:lang w:eastAsia="ko-KR"/>
        </w:rPr>
        <w:t xml:space="preserve"> the </w:t>
      </w:r>
      <w:r w:rsidR="00DA5DE4">
        <w:rPr>
          <w:rFonts w:ascii="Calibri" w:hAnsi="Calibri" w:cs="Arial"/>
          <w:lang w:eastAsia="ko-KR"/>
        </w:rPr>
        <w:t>specifics</w:t>
      </w:r>
      <w:r w:rsidR="00DA5DE4">
        <w:rPr>
          <w:rFonts w:ascii="Calibri" w:hAnsi="Calibri" w:cs="Arial" w:hint="eastAsia"/>
          <w:lang w:eastAsia="ko-KR"/>
        </w:rPr>
        <w:t xml:space="preserve"> </w:t>
      </w:r>
      <w:r>
        <w:rPr>
          <w:rFonts w:ascii="Calibri" w:hAnsi="Calibri" w:cs="Arial" w:hint="eastAsia"/>
          <w:lang w:eastAsia="ko-KR"/>
        </w:rPr>
        <w:t>on Declaration process.</w:t>
      </w:r>
      <w:r w:rsidR="00BE2265">
        <w:rPr>
          <w:rFonts w:ascii="Calibri" w:hAnsi="Calibri" w:cs="Arial" w:hint="eastAsia"/>
          <w:lang w:eastAsia="ko-KR"/>
        </w:rPr>
        <w:t xml:space="preserve"> </w:t>
      </w:r>
    </w:p>
    <w:p w:rsidR="00BE2265" w:rsidRPr="007C4009" w:rsidRDefault="007C4009" w:rsidP="00BE2265">
      <w:pPr>
        <w:keepNext/>
        <w:numPr>
          <w:ilvl w:val="0"/>
          <w:numId w:val="14"/>
        </w:numPr>
        <w:spacing w:before="240" w:after="240"/>
        <w:ind w:left="357" w:hanging="357"/>
        <w:outlineLvl w:val="0"/>
        <w:rPr>
          <w:rFonts w:cs="Times New Roman"/>
          <w:lang w:eastAsia="ko-KR"/>
        </w:rPr>
      </w:pPr>
      <w:r w:rsidRPr="007C4009">
        <w:rPr>
          <w:rFonts w:ascii="Calibri" w:hAnsi="Calibri" w:cs="Times New Roman"/>
          <w:color w:val="0070C0"/>
          <w:kern w:val="28"/>
          <w:lang w:eastAsia="ko-KR"/>
        </w:rPr>
        <w:t>Action requested of the Committee</w:t>
      </w:r>
    </w:p>
    <w:p w:rsidR="00391ADB" w:rsidRPr="00391ADB" w:rsidRDefault="00391ADB" w:rsidP="00391ADB">
      <w:pPr>
        <w:pStyle w:val="List1"/>
        <w:widowControl w:val="0"/>
        <w:numPr>
          <w:ilvl w:val="0"/>
          <w:numId w:val="17"/>
        </w:numPr>
        <w:tabs>
          <w:tab w:val="num" w:pos="567"/>
        </w:tabs>
        <w:wordWrap w:val="0"/>
        <w:autoSpaceDE w:val="0"/>
        <w:autoSpaceDN w:val="0"/>
        <w:spacing w:after="200" w:line="276" w:lineRule="auto"/>
        <w:ind w:left="567" w:hanging="567"/>
        <w:rPr>
          <w:rFonts w:ascii="Calibri" w:eastAsia="Malgun Gothic" w:hAnsi="Calibri"/>
          <w:lang w:eastAsia="ko-KR"/>
        </w:rPr>
      </w:pPr>
      <w:r w:rsidRPr="00391ADB">
        <w:rPr>
          <w:rFonts w:ascii="Calibri" w:eastAsia="Malgun Gothic" w:hAnsi="Calibri" w:hint="eastAsia"/>
          <w:lang w:eastAsia="ko-KR"/>
        </w:rPr>
        <w:t>Hold the 2nd meeting of Incheon Declaration Committee on 10.OCT.2017.</w:t>
      </w:r>
    </w:p>
    <w:p w:rsidR="00391ADB" w:rsidRPr="00391ADB" w:rsidRDefault="00391ADB" w:rsidP="00391ADB">
      <w:pPr>
        <w:pStyle w:val="List1"/>
        <w:widowControl w:val="0"/>
        <w:numPr>
          <w:ilvl w:val="0"/>
          <w:numId w:val="17"/>
        </w:numPr>
        <w:tabs>
          <w:tab w:val="num" w:pos="567"/>
        </w:tabs>
        <w:wordWrap w:val="0"/>
        <w:autoSpaceDE w:val="0"/>
        <w:autoSpaceDN w:val="0"/>
        <w:spacing w:after="200" w:line="276" w:lineRule="auto"/>
        <w:ind w:left="567" w:hanging="567"/>
        <w:rPr>
          <w:rFonts w:ascii="Calibri" w:eastAsia="Malgun Gothic" w:hAnsi="Calibri"/>
          <w:lang w:eastAsia="ko-KR"/>
        </w:rPr>
      </w:pPr>
      <w:r w:rsidRPr="00391ADB">
        <w:rPr>
          <w:rFonts w:ascii="Calibri" w:eastAsia="Malgun Gothic" w:hAnsi="Calibri"/>
          <w:lang w:eastAsia="ko-KR"/>
        </w:rPr>
        <w:t>MOF receives</w:t>
      </w:r>
      <w:r w:rsidRPr="00391ADB">
        <w:rPr>
          <w:rFonts w:ascii="Calibri" w:eastAsia="Malgun Gothic" w:hAnsi="Calibri" w:hint="eastAsia"/>
          <w:lang w:eastAsia="ko-KR"/>
        </w:rPr>
        <w:t xml:space="preserve"> any opinion of the Declaration by 31.NOV.2017.</w:t>
      </w:r>
    </w:p>
    <w:p w:rsidR="000D7C58" w:rsidRPr="0067431D" w:rsidRDefault="000D7C58" w:rsidP="00A36B6B">
      <w:pPr>
        <w:pStyle w:val="List1"/>
        <w:widowControl w:val="0"/>
        <w:numPr>
          <w:ilvl w:val="0"/>
          <w:numId w:val="17"/>
        </w:numPr>
        <w:tabs>
          <w:tab w:val="num" w:pos="567"/>
        </w:tabs>
        <w:wordWrap w:val="0"/>
        <w:autoSpaceDE w:val="0"/>
        <w:autoSpaceDN w:val="0"/>
        <w:spacing w:after="200" w:line="276" w:lineRule="auto"/>
        <w:ind w:left="567" w:hanging="567"/>
        <w:rPr>
          <w:rFonts w:ascii="Calibri" w:eastAsia="Malgun Gothic" w:hAnsi="Calibri"/>
          <w:lang w:eastAsia="ko-KR"/>
        </w:rPr>
      </w:pPr>
      <w:r w:rsidRPr="0067431D">
        <w:rPr>
          <w:rFonts w:ascii="Calibri" w:eastAsia="Malgun Gothic" w:hAnsi="Calibri" w:hint="eastAsia"/>
          <w:lang w:eastAsia="ko-KR"/>
        </w:rPr>
        <w:t>Distribute the draft Incheon Declaration to LAP</w:t>
      </w:r>
      <w:r w:rsidR="00BE2265">
        <w:rPr>
          <w:rFonts w:ascii="Calibri" w:eastAsia="Malgun Gothic" w:hAnsi="Calibri" w:hint="eastAsia"/>
          <w:lang w:eastAsia="ko-KR"/>
        </w:rPr>
        <w:t>19</w:t>
      </w:r>
      <w:r w:rsidRPr="0067431D">
        <w:rPr>
          <w:rFonts w:ascii="Calibri" w:eastAsia="Malgun Gothic" w:hAnsi="Calibri" w:hint="eastAsia"/>
          <w:lang w:eastAsia="ko-KR"/>
        </w:rPr>
        <w:t>, PAP</w:t>
      </w:r>
      <w:r w:rsidR="00BE2265">
        <w:rPr>
          <w:rFonts w:ascii="Calibri" w:eastAsia="Malgun Gothic" w:hAnsi="Calibri" w:hint="eastAsia"/>
          <w:lang w:eastAsia="ko-KR"/>
        </w:rPr>
        <w:t>34</w:t>
      </w:r>
      <w:r w:rsidRPr="0067431D">
        <w:rPr>
          <w:rFonts w:ascii="Calibri" w:eastAsia="Malgun Gothic" w:hAnsi="Calibri" w:hint="eastAsia"/>
          <w:lang w:eastAsia="ko-KR"/>
        </w:rPr>
        <w:t xml:space="preserve"> to review its contents.</w:t>
      </w:r>
    </w:p>
    <w:p w:rsidR="000D7C58" w:rsidRPr="0067431D" w:rsidRDefault="00BE2265" w:rsidP="00A36B6B">
      <w:pPr>
        <w:pStyle w:val="List1"/>
        <w:widowControl w:val="0"/>
        <w:numPr>
          <w:ilvl w:val="0"/>
          <w:numId w:val="17"/>
        </w:numPr>
        <w:tabs>
          <w:tab w:val="num" w:pos="567"/>
        </w:tabs>
        <w:wordWrap w:val="0"/>
        <w:autoSpaceDE w:val="0"/>
        <w:autoSpaceDN w:val="0"/>
        <w:spacing w:after="200" w:line="276" w:lineRule="auto"/>
        <w:ind w:left="567" w:hanging="567"/>
        <w:rPr>
          <w:rFonts w:ascii="Calibri" w:eastAsia="Malgun Gothic" w:hAnsi="Calibri"/>
          <w:lang w:eastAsia="ko-KR"/>
        </w:rPr>
      </w:pPr>
      <w:r>
        <w:rPr>
          <w:rFonts w:ascii="Calibri" w:eastAsia="Malgun Gothic" w:hAnsi="Calibri" w:hint="eastAsia"/>
          <w:lang w:eastAsia="ko-KR"/>
        </w:rPr>
        <w:t xml:space="preserve">Report </w:t>
      </w:r>
      <w:r w:rsidR="000D7C58" w:rsidRPr="0067431D">
        <w:rPr>
          <w:rFonts w:ascii="Calibri" w:eastAsia="Malgun Gothic" w:hAnsi="Calibri" w:hint="eastAsia"/>
          <w:lang w:eastAsia="ko-KR"/>
        </w:rPr>
        <w:t>the revised Incheon Declaration to Council.</w:t>
      </w:r>
    </w:p>
    <w:p w:rsidR="00770C1A" w:rsidRDefault="00770C1A">
      <w:pPr>
        <w:rPr>
          <w:rFonts w:ascii="Calibri" w:eastAsia="Malgun Gothic" w:hAnsi="Calibri"/>
          <w:b/>
          <w:snapToGrid w:val="0"/>
          <w:color w:val="00558C"/>
          <w:sz w:val="24"/>
          <w:lang w:eastAsia="ko-KR"/>
        </w:rPr>
      </w:pPr>
      <w:r>
        <w:rPr>
          <w:rFonts w:eastAsia="Malgun Gothic"/>
          <w:lang w:eastAsia="ko-KR"/>
        </w:rPr>
        <w:br w:type="page"/>
      </w:r>
    </w:p>
    <w:p w:rsidR="00770C1A" w:rsidRPr="00FB6967" w:rsidRDefault="00770C1A" w:rsidP="00A36B6B">
      <w:pPr>
        <w:pStyle w:val="Annex"/>
        <w:rPr>
          <w:rFonts w:asciiTheme="minorHAnsi" w:hAnsiTheme="minorHAnsi" w:cstheme="minorBidi"/>
          <w:sz w:val="28"/>
          <w:lang w:eastAsia="en-US"/>
        </w:rPr>
      </w:pPr>
      <w:r w:rsidRPr="00FB6967">
        <w:rPr>
          <w:rFonts w:ascii="Times New Roman" w:hAnsi="Times New Roman" w:cs="Times New Roman" w:hint="eastAsia"/>
          <w:caps/>
          <w:color w:val="auto"/>
          <w:sz w:val="32"/>
          <w:lang w:val="en-US" w:eastAsia="ko-KR"/>
        </w:rPr>
        <w:lastRenderedPageBreak/>
        <w:t>(T</w:t>
      </w:r>
      <w:r w:rsidRPr="00FB6967">
        <w:rPr>
          <w:rFonts w:ascii="Times New Roman" w:eastAsia="Times New Roman" w:hAnsi="Times New Roman" w:cs="Times New Roman"/>
          <w:caps/>
          <w:color w:val="auto"/>
          <w:sz w:val="32"/>
          <w:lang w:val="en-US"/>
        </w:rPr>
        <w:t>hird Draft) INCHEON DECLARATION</w:t>
      </w:r>
      <w:r w:rsidRPr="00FB6967">
        <w:rPr>
          <w:rFonts w:ascii="Times New Roman" w:hAnsi="Times New Roman" w:cs="Times New Roman" w:hint="eastAsia"/>
          <w:sz w:val="32"/>
          <w:lang w:val="en-US" w:eastAsia="ko-KR"/>
        </w:rPr>
        <w:t xml:space="preserve"> </w:t>
      </w:r>
    </w:p>
    <w:p w:rsidR="00770C1A" w:rsidRPr="00A15C63" w:rsidRDefault="00770C1A" w:rsidP="00770C1A">
      <w:pPr>
        <w:widowControl w:val="0"/>
        <w:spacing w:before="182"/>
        <w:ind w:right="-1"/>
        <w:jc w:val="center"/>
        <w:rPr>
          <w:rFonts w:ascii="Times New Roman" w:eastAsia="Times New Roman" w:hAnsi="Times New Roman" w:cs="Times New Roman"/>
          <w:b/>
          <w:sz w:val="32"/>
          <w:lang w:val="en-US"/>
        </w:rPr>
      </w:pPr>
      <w:r w:rsidRPr="00A15C63">
        <w:rPr>
          <w:rFonts w:ascii="Times New Roman" w:eastAsia="Times New Roman" w:hAnsi="Times New Roman" w:cs="Times New Roman"/>
          <w:b/>
          <w:sz w:val="32"/>
          <w:lang w:val="en-US"/>
        </w:rPr>
        <w:t>On Lighthouses as Cultural Heritage</w:t>
      </w:r>
    </w:p>
    <w:p w:rsidR="00770C1A" w:rsidRPr="00A15C63" w:rsidRDefault="00770C1A" w:rsidP="00770C1A">
      <w:pPr>
        <w:widowControl w:val="0"/>
        <w:spacing w:before="5" w:line="360" w:lineRule="auto"/>
        <w:ind w:right="-1"/>
        <w:rPr>
          <w:rFonts w:ascii="Times New Roman" w:eastAsia="Times New Roman" w:hAnsi="Times New Roman" w:cs="Times New Roman"/>
          <w:sz w:val="14"/>
          <w:szCs w:val="24"/>
          <w:lang w:val="en-US"/>
        </w:rPr>
      </w:pPr>
    </w:p>
    <w:p w:rsidR="00770C1A" w:rsidRPr="00A15C63" w:rsidRDefault="00770C1A" w:rsidP="00770C1A">
      <w:pPr>
        <w:widowControl w:val="0"/>
        <w:spacing w:before="77" w:line="360" w:lineRule="auto"/>
        <w:ind w:leftChars="194" w:left="567" w:right="-1" w:hanging="140"/>
        <w:rPr>
          <w:rFonts w:ascii="Monotype Corsiva" w:hAnsi="Times New Roman" w:cs="Times New Roman"/>
          <w:i/>
          <w:sz w:val="24"/>
          <w:lang w:val="en-US" w:eastAsia="ko-KR"/>
        </w:rPr>
      </w:pPr>
      <w:r w:rsidRPr="00A15C63">
        <w:rPr>
          <w:rFonts w:ascii="Monotype Corsiva" w:eastAsia="Times New Roman" w:hAnsi="Times New Roman" w:cs="Times New Roman"/>
          <w:i/>
          <w:sz w:val="24"/>
          <w:lang w:val="en-US"/>
        </w:rPr>
        <w:t>(Signed on 2 June 2018 in Incheon, Republic of Korea by the Ministry of Oceans and Fishery and the International Association for Marine Aids to Navigation and Lighthouse Authorities</w:t>
      </w:r>
      <w:r>
        <w:rPr>
          <w:rFonts w:ascii="Monotype Corsiva" w:hAnsi="Times New Roman" w:cs="Times New Roman" w:hint="eastAsia"/>
          <w:i/>
          <w:sz w:val="24"/>
          <w:lang w:val="en-US" w:eastAsia="ko-KR"/>
        </w:rPr>
        <w:t>)</w:t>
      </w:r>
    </w:p>
    <w:p w:rsidR="00770C1A" w:rsidRPr="00A15C63" w:rsidRDefault="00770C1A" w:rsidP="00770C1A">
      <w:pPr>
        <w:widowControl w:val="0"/>
        <w:spacing w:before="1" w:line="360" w:lineRule="auto"/>
        <w:ind w:right="-1"/>
        <w:rPr>
          <w:rFonts w:ascii="Monotype Corsiva" w:eastAsia="Times New Roman" w:hAnsi="Times New Roman" w:cs="Times New Roman"/>
          <w:i/>
          <w:sz w:val="21"/>
          <w:szCs w:val="24"/>
          <w:lang w:val="en-US"/>
        </w:rPr>
      </w:pPr>
    </w:p>
    <w:p w:rsidR="00770C1A" w:rsidRPr="00A15C63" w:rsidRDefault="00770C1A" w:rsidP="00770C1A">
      <w:pPr>
        <w:widowControl w:val="0"/>
        <w:spacing w:line="360" w:lineRule="auto"/>
        <w:ind w:left="101" w:right="-1"/>
        <w:jc w:val="right"/>
        <w:rPr>
          <w:rFonts w:ascii="Times New Roman" w:eastAsia="Times New Roman" w:hAnsi="Times New Roman" w:cs="Times New Roman"/>
          <w:sz w:val="24"/>
          <w:szCs w:val="24"/>
          <w:lang w:val="en-US"/>
        </w:rPr>
      </w:pPr>
      <w:r w:rsidRPr="00A15C63">
        <w:rPr>
          <w:rFonts w:ascii="Times New Roman" w:eastAsia="Times New Roman" w:hAnsi="Times New Roman" w:cs="Times New Roman"/>
          <w:sz w:val="24"/>
          <w:szCs w:val="24"/>
          <w:lang w:val="en-US"/>
        </w:rPr>
        <w:t>As of 9 May, 2017</w:t>
      </w:r>
    </w:p>
    <w:p w:rsidR="00770C1A" w:rsidRPr="00A15C63" w:rsidRDefault="00770C1A" w:rsidP="00770C1A">
      <w:pPr>
        <w:widowControl w:val="0"/>
        <w:spacing w:before="11"/>
        <w:ind w:right="-1"/>
        <w:rPr>
          <w:rFonts w:ascii="Times New Roman" w:eastAsia="Times New Roman" w:hAnsi="Times New Roman" w:cs="Times New Roman"/>
          <w:sz w:val="20"/>
          <w:szCs w:val="24"/>
          <w:lang w:val="en-US"/>
        </w:rPr>
      </w:pPr>
    </w:p>
    <w:p w:rsidR="00770C1A" w:rsidRPr="00F76AF1" w:rsidRDefault="00770C1A" w:rsidP="00770C1A">
      <w:pPr>
        <w:widowControl w:val="0"/>
        <w:spacing w:line="271" w:lineRule="auto"/>
        <w:ind w:left="101" w:right="-1" w:firstLine="2"/>
        <w:jc w:val="both"/>
        <w:rPr>
          <w:rFonts w:ascii="Times New Roman" w:hAnsi="Times New Roman" w:cs="Times New Roman"/>
          <w:sz w:val="24"/>
          <w:lang w:val="en-US" w:eastAsia="ko-KR"/>
        </w:rPr>
      </w:pPr>
      <w:r w:rsidRPr="00A15C63">
        <w:rPr>
          <w:rFonts w:ascii="Times New Roman" w:eastAsia="Times New Roman" w:hAnsi="Times New Roman" w:cs="Times New Roman"/>
          <w:b/>
          <w:sz w:val="24"/>
          <w:lang w:val="en-US"/>
        </w:rPr>
        <w:t xml:space="preserve">Under the of the IALA motto ‘Successful voyages, sustainable planet’ </w:t>
      </w:r>
      <w:r w:rsidRPr="00A15C63">
        <w:rPr>
          <w:rFonts w:ascii="Times New Roman" w:eastAsia="Times New Roman" w:hAnsi="Times New Roman" w:cs="Times New Roman"/>
          <w:sz w:val="24"/>
          <w:lang w:val="en-US"/>
        </w:rPr>
        <w:t>the Ministry of Oceans and Fishery (MOF) of the Republic of Korea and the International Association for Marine Aids to Navigation</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and</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Lighthouse</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Authorities</w:t>
      </w:r>
      <w:r w:rsidRPr="00A15C63">
        <w:rPr>
          <w:rFonts w:ascii="Times New Roman" w:eastAsia="Times New Roman" w:hAnsi="Times New Roman" w:cs="Times New Roman"/>
          <w:spacing w:val="-16"/>
          <w:sz w:val="24"/>
          <w:lang w:val="en-US"/>
        </w:rPr>
        <w:t xml:space="preserve"> </w:t>
      </w:r>
      <w:r w:rsidRPr="00A15C63">
        <w:rPr>
          <w:rFonts w:ascii="Times New Roman" w:eastAsia="Times New Roman" w:hAnsi="Times New Roman" w:cs="Times New Roman"/>
          <w:sz w:val="24"/>
          <w:lang w:val="en-US"/>
        </w:rPr>
        <w:t>(IALA),</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gathered</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at</w:t>
      </w:r>
      <w:r w:rsidRPr="00A15C63">
        <w:rPr>
          <w:rFonts w:ascii="Times New Roman" w:eastAsia="Times New Roman" w:hAnsi="Times New Roman" w:cs="Times New Roman"/>
          <w:spacing w:val="-16"/>
          <w:sz w:val="24"/>
          <w:lang w:val="en-US"/>
        </w:rPr>
        <w:t xml:space="preserve"> </w:t>
      </w:r>
      <w:r w:rsidRPr="00A15C63">
        <w:rPr>
          <w:rFonts w:ascii="Times New Roman" w:eastAsia="Times New Roman" w:hAnsi="Times New Roman" w:cs="Times New Roman"/>
          <w:sz w:val="24"/>
          <w:lang w:val="en-US"/>
        </w:rPr>
        <w:t>the</w:t>
      </w:r>
      <w:r w:rsidRPr="00A15C63">
        <w:rPr>
          <w:rFonts w:ascii="Times New Roman" w:eastAsia="Times New Roman" w:hAnsi="Times New Roman" w:cs="Times New Roman"/>
          <w:spacing w:val="-16"/>
          <w:sz w:val="24"/>
          <w:lang w:val="en-US"/>
        </w:rPr>
        <w:t xml:space="preserve"> </w:t>
      </w:r>
      <w:r w:rsidRPr="00A15C63">
        <w:rPr>
          <w:rFonts w:ascii="Times New Roman" w:eastAsia="Times New Roman" w:hAnsi="Times New Roman" w:cs="Times New Roman"/>
          <w:sz w:val="24"/>
          <w:lang w:val="en-US"/>
        </w:rPr>
        <w:t>19</w:t>
      </w:r>
      <w:r w:rsidRPr="00A15C63">
        <w:rPr>
          <w:rFonts w:ascii="Times New Roman" w:eastAsia="Times New Roman" w:hAnsi="Times New Roman" w:cs="Times New Roman"/>
          <w:position w:val="9"/>
          <w:sz w:val="16"/>
          <w:lang w:val="en-US"/>
        </w:rPr>
        <w:t>th</w:t>
      </w:r>
      <w:r w:rsidRPr="00A15C63">
        <w:rPr>
          <w:rFonts w:ascii="Times New Roman" w:eastAsia="Times New Roman" w:hAnsi="Times New Roman" w:cs="Times New Roman"/>
          <w:spacing w:val="-11"/>
          <w:position w:val="9"/>
          <w:sz w:val="16"/>
          <w:lang w:val="en-US"/>
        </w:rPr>
        <w:t xml:space="preserve"> </w:t>
      </w:r>
      <w:r w:rsidRPr="00A15C63">
        <w:rPr>
          <w:rFonts w:ascii="Times New Roman" w:eastAsia="Times New Roman" w:hAnsi="Times New Roman" w:cs="Times New Roman"/>
          <w:sz w:val="24"/>
          <w:lang w:val="en-US"/>
        </w:rPr>
        <w:t>IALA</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Conference,</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held</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in</w:t>
      </w:r>
      <w:r w:rsidRPr="00A15C63">
        <w:rPr>
          <w:rFonts w:ascii="Times New Roman" w:eastAsia="Times New Roman" w:hAnsi="Times New Roman" w:cs="Times New Roman"/>
          <w:spacing w:val="-17"/>
          <w:sz w:val="24"/>
          <w:lang w:val="en-US"/>
        </w:rPr>
        <w:t xml:space="preserve"> </w:t>
      </w:r>
      <w:r w:rsidRPr="00A15C63">
        <w:rPr>
          <w:rFonts w:ascii="Times New Roman" w:eastAsia="Times New Roman" w:hAnsi="Times New Roman" w:cs="Times New Roman"/>
          <w:sz w:val="24"/>
          <w:lang w:val="en-US"/>
        </w:rPr>
        <w:t>Incheon, Republic of Kor</w:t>
      </w:r>
      <w:r>
        <w:rPr>
          <w:rFonts w:ascii="Times New Roman" w:eastAsia="Times New Roman" w:hAnsi="Times New Roman" w:cs="Times New Roman"/>
          <w:sz w:val="24"/>
          <w:lang w:val="en-US"/>
        </w:rPr>
        <w:t>ea, from 28 May to 2 June 2018;</w:t>
      </w:r>
    </w:p>
    <w:p w:rsidR="00770C1A" w:rsidRPr="00F76AF1" w:rsidRDefault="00770C1A" w:rsidP="00770C1A">
      <w:pPr>
        <w:widowControl w:val="0"/>
        <w:spacing w:before="203" w:line="276" w:lineRule="auto"/>
        <w:ind w:left="101" w:right="-1" w:firstLine="2"/>
        <w:jc w:val="both"/>
        <w:rPr>
          <w:rFonts w:ascii="Times New Roman" w:hAnsi="Times New Roman" w:cs="Times New Roman"/>
          <w:sz w:val="24"/>
          <w:szCs w:val="24"/>
          <w:lang w:val="en-US" w:eastAsia="ko-KR"/>
        </w:rPr>
      </w:pPr>
      <w:r w:rsidRPr="00A15C63">
        <w:rPr>
          <w:rFonts w:ascii="Times New Roman" w:eastAsia="Times New Roman" w:hAnsi="Times New Roman" w:cs="Times New Roman"/>
          <w:b/>
          <w:sz w:val="24"/>
          <w:szCs w:val="24"/>
          <w:lang w:val="en-US"/>
        </w:rPr>
        <w:t xml:space="preserve">Respecting </w:t>
      </w:r>
      <w:r w:rsidRPr="00A15C63">
        <w:rPr>
          <w:rFonts w:ascii="Times New Roman" w:eastAsia="Times New Roman" w:hAnsi="Times New Roman" w:cs="Times New Roman"/>
          <w:sz w:val="24"/>
          <w:szCs w:val="24"/>
          <w:lang w:val="en-US"/>
        </w:rPr>
        <w:t>the objectives embodied in the theme ‘A new era for Marine Aids to N</w:t>
      </w:r>
      <w:r>
        <w:rPr>
          <w:rFonts w:ascii="Times New Roman" w:eastAsia="Times New Roman" w:hAnsi="Times New Roman" w:cs="Times New Roman"/>
          <w:sz w:val="24"/>
          <w:szCs w:val="24"/>
          <w:lang w:val="en-US"/>
        </w:rPr>
        <w:t>avigation in a connected world;</w:t>
      </w:r>
    </w:p>
    <w:p w:rsidR="00770C1A" w:rsidRPr="00A15C63" w:rsidRDefault="00770C1A" w:rsidP="00770C1A">
      <w:pPr>
        <w:widowControl w:val="0"/>
        <w:spacing w:before="197" w:line="276" w:lineRule="auto"/>
        <w:ind w:left="101" w:right="-1" w:firstLine="2"/>
        <w:jc w:val="both"/>
        <w:rPr>
          <w:rFonts w:ascii="Times New Roman" w:hAnsi="Times New Roman" w:cs="Times New Roman"/>
          <w:sz w:val="24"/>
          <w:szCs w:val="24"/>
          <w:lang w:val="en-US" w:eastAsia="ko-KR"/>
        </w:rPr>
      </w:pPr>
      <w:r w:rsidRPr="00A15C63">
        <w:rPr>
          <w:rFonts w:ascii="Times New Roman" w:eastAsia="Times New Roman" w:hAnsi="Times New Roman" w:cs="Times New Roman"/>
          <w:b/>
          <w:sz w:val="24"/>
          <w:szCs w:val="24"/>
          <w:lang w:val="en-US"/>
        </w:rPr>
        <w:t xml:space="preserve">Recalling </w:t>
      </w:r>
      <w:r w:rsidRPr="00A15C63">
        <w:rPr>
          <w:rFonts w:ascii="Times New Roman" w:eastAsia="Times New Roman" w:hAnsi="Times New Roman" w:cs="Times New Roman"/>
          <w:sz w:val="24"/>
          <w:szCs w:val="24"/>
          <w:lang w:val="en-US"/>
        </w:rPr>
        <w:t>the principles put forth in the Convention concerning the Protection of the World Cultural and Natural Heritage (1972), the ASEAN Declaration on Cultural Heritage (2002), the Xi’an Declaration</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on</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the</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Conservation</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of</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the</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Setting</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of</w:t>
      </w:r>
      <w:r w:rsidRPr="00A15C63">
        <w:rPr>
          <w:rFonts w:ascii="Times New Roman" w:eastAsia="Times New Roman" w:hAnsi="Times New Roman" w:cs="Times New Roman"/>
          <w:spacing w:val="-6"/>
          <w:sz w:val="24"/>
          <w:szCs w:val="24"/>
          <w:lang w:val="en-US"/>
        </w:rPr>
        <w:t xml:space="preserve"> </w:t>
      </w:r>
      <w:r w:rsidRPr="00A15C63">
        <w:rPr>
          <w:rFonts w:ascii="Times New Roman" w:eastAsia="Times New Roman" w:hAnsi="Times New Roman" w:cs="Times New Roman"/>
          <w:sz w:val="24"/>
          <w:szCs w:val="24"/>
          <w:lang w:val="en-US"/>
        </w:rPr>
        <w:t>Heritage</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Structures,</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Sites</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and</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Areas</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(2005),</w:t>
      </w:r>
      <w:r w:rsidRPr="00A15C63">
        <w:rPr>
          <w:rFonts w:ascii="Times New Roman" w:eastAsia="Times New Roman" w:hAnsi="Times New Roman" w:cs="Times New Roman"/>
          <w:spacing w:val="-4"/>
          <w:sz w:val="24"/>
          <w:szCs w:val="24"/>
          <w:lang w:val="en-US"/>
        </w:rPr>
        <w:t xml:space="preserve"> </w:t>
      </w:r>
      <w:r w:rsidRPr="00A15C63">
        <w:rPr>
          <w:rFonts w:ascii="Times New Roman" w:eastAsia="Times New Roman" w:hAnsi="Times New Roman" w:cs="Times New Roman"/>
          <w:sz w:val="24"/>
          <w:szCs w:val="24"/>
          <w:lang w:val="en-US"/>
        </w:rPr>
        <w:t>and</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the Florence Declaration on Heritage and Landscape as Human Values</w:t>
      </w:r>
      <w:r w:rsidRPr="00A15C63">
        <w:rPr>
          <w:rFonts w:ascii="Times New Roman" w:eastAsia="Times New Roman" w:hAnsi="Times New Roman" w:cs="Times New Roman"/>
          <w:spacing w:val="-12"/>
          <w:sz w:val="24"/>
          <w:szCs w:val="24"/>
          <w:lang w:val="en-US"/>
        </w:rPr>
        <w:t xml:space="preserve"> </w:t>
      </w:r>
      <w:r w:rsidRPr="00A15C63">
        <w:rPr>
          <w:rFonts w:ascii="Times New Roman" w:eastAsia="Times New Roman" w:hAnsi="Times New Roman" w:cs="Times New Roman"/>
          <w:sz w:val="24"/>
          <w:szCs w:val="24"/>
          <w:lang w:val="en-US"/>
        </w:rPr>
        <w:t>(2014);</w:t>
      </w:r>
    </w:p>
    <w:p w:rsidR="00770C1A" w:rsidRPr="00A15C63" w:rsidRDefault="00770C1A" w:rsidP="00770C1A">
      <w:pPr>
        <w:widowControl w:val="0"/>
        <w:spacing w:before="196" w:line="276" w:lineRule="auto"/>
        <w:ind w:left="101" w:right="-1" w:firstLine="2"/>
        <w:jc w:val="both"/>
        <w:rPr>
          <w:rFonts w:ascii="Times New Roman" w:hAnsi="Times New Roman" w:cs="Times New Roman"/>
          <w:sz w:val="24"/>
          <w:szCs w:val="24"/>
          <w:lang w:val="en-US" w:eastAsia="ko-KR"/>
        </w:rPr>
      </w:pPr>
      <w:r w:rsidRPr="00A15C63">
        <w:rPr>
          <w:rFonts w:ascii="Times New Roman" w:eastAsia="Times New Roman" w:hAnsi="Times New Roman" w:cs="Times New Roman"/>
          <w:b/>
          <w:sz w:val="24"/>
          <w:szCs w:val="24"/>
          <w:lang w:val="en-US"/>
        </w:rPr>
        <w:t xml:space="preserve">Noting </w:t>
      </w:r>
      <w:r w:rsidRPr="00A15C63">
        <w:rPr>
          <w:rFonts w:ascii="Times New Roman" w:eastAsia="Times New Roman" w:hAnsi="Times New Roman" w:cs="Times New Roman"/>
          <w:sz w:val="24"/>
          <w:szCs w:val="24"/>
          <w:lang w:val="en-US"/>
        </w:rPr>
        <w:t>the relevant provisions in the United Nations Convention on the Law of the Sea, the United Nations Framework Convention on Climate Change, the United Nations Sustainable Development Goals, the Global Programme of Action for the Protection of the Marine Environment from Land- based</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Activities,</w:t>
      </w:r>
      <w:r w:rsidRPr="00A15C63">
        <w:rPr>
          <w:rFonts w:ascii="Times New Roman" w:eastAsia="Times New Roman" w:hAnsi="Times New Roman" w:cs="Times New Roman"/>
          <w:spacing w:val="-6"/>
          <w:sz w:val="24"/>
          <w:szCs w:val="24"/>
          <w:lang w:val="en-US"/>
        </w:rPr>
        <w:t xml:space="preserve"> </w:t>
      </w:r>
      <w:r w:rsidRPr="00A15C63">
        <w:rPr>
          <w:rFonts w:ascii="Times New Roman" w:eastAsia="Times New Roman" w:hAnsi="Times New Roman" w:cs="Times New Roman"/>
          <w:sz w:val="24"/>
          <w:szCs w:val="24"/>
          <w:lang w:val="en-US"/>
        </w:rPr>
        <w:t>and</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other</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important</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multilateral</w:t>
      </w:r>
      <w:r w:rsidRPr="00A15C63">
        <w:rPr>
          <w:rFonts w:ascii="Times New Roman" w:eastAsia="Times New Roman" w:hAnsi="Times New Roman" w:cs="Times New Roman"/>
          <w:spacing w:val="-6"/>
          <w:sz w:val="24"/>
          <w:szCs w:val="24"/>
          <w:lang w:val="en-US"/>
        </w:rPr>
        <w:t xml:space="preserve"> </w:t>
      </w:r>
      <w:r w:rsidRPr="00A15C63">
        <w:rPr>
          <w:rFonts w:ascii="Times New Roman" w:eastAsia="Times New Roman" w:hAnsi="Times New Roman" w:cs="Times New Roman"/>
          <w:sz w:val="24"/>
          <w:szCs w:val="24"/>
          <w:lang w:val="en-US"/>
        </w:rPr>
        <w:t>conventions,</w:t>
      </w:r>
      <w:r w:rsidRPr="00A15C63">
        <w:rPr>
          <w:rFonts w:ascii="Times New Roman" w:eastAsia="Times New Roman" w:hAnsi="Times New Roman" w:cs="Times New Roman"/>
          <w:spacing w:val="-8"/>
          <w:sz w:val="24"/>
          <w:szCs w:val="24"/>
          <w:lang w:val="en-US"/>
        </w:rPr>
        <w:t xml:space="preserve"> </w:t>
      </w:r>
      <w:r w:rsidRPr="00A15C63">
        <w:rPr>
          <w:rFonts w:ascii="Times New Roman" w:eastAsia="Times New Roman" w:hAnsi="Times New Roman" w:cs="Times New Roman"/>
          <w:sz w:val="24"/>
          <w:szCs w:val="24"/>
          <w:lang w:val="en-US"/>
        </w:rPr>
        <w:t>agreements,</w:t>
      </w:r>
      <w:r w:rsidRPr="00A15C63">
        <w:rPr>
          <w:rFonts w:ascii="Times New Roman" w:eastAsia="Times New Roman" w:hAnsi="Times New Roman" w:cs="Times New Roman"/>
          <w:spacing w:val="-6"/>
          <w:sz w:val="24"/>
          <w:szCs w:val="24"/>
          <w:lang w:val="en-US"/>
        </w:rPr>
        <w:t xml:space="preserve"> </w:t>
      </w:r>
      <w:r w:rsidRPr="00A15C63">
        <w:rPr>
          <w:rFonts w:ascii="Times New Roman" w:eastAsia="Times New Roman" w:hAnsi="Times New Roman" w:cs="Times New Roman"/>
          <w:sz w:val="24"/>
          <w:szCs w:val="24"/>
          <w:lang w:val="en-US"/>
        </w:rPr>
        <w:t>and</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action</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plans</w:t>
      </w:r>
      <w:r w:rsidRPr="00A15C63">
        <w:rPr>
          <w:rFonts w:ascii="Times New Roman" w:eastAsia="Times New Roman" w:hAnsi="Times New Roman" w:cs="Times New Roman"/>
          <w:spacing w:val="-5"/>
          <w:sz w:val="24"/>
          <w:szCs w:val="24"/>
          <w:lang w:val="en-US"/>
        </w:rPr>
        <w:t xml:space="preserve"> </w:t>
      </w:r>
      <w:r w:rsidRPr="00A15C63">
        <w:rPr>
          <w:rFonts w:ascii="Times New Roman" w:eastAsia="Times New Roman" w:hAnsi="Times New Roman" w:cs="Times New Roman"/>
          <w:sz w:val="24"/>
          <w:szCs w:val="24"/>
          <w:lang w:val="en-US"/>
        </w:rPr>
        <w:t>related</w:t>
      </w:r>
      <w:r w:rsidRPr="00A15C63">
        <w:rPr>
          <w:rFonts w:ascii="Times New Roman" w:eastAsia="Times New Roman" w:hAnsi="Times New Roman" w:cs="Times New Roman"/>
          <w:spacing w:val="-6"/>
          <w:sz w:val="24"/>
          <w:szCs w:val="24"/>
          <w:lang w:val="en-US"/>
        </w:rPr>
        <w:t xml:space="preserve"> </w:t>
      </w:r>
      <w:r w:rsidRPr="00A15C63">
        <w:rPr>
          <w:rFonts w:ascii="Times New Roman" w:eastAsia="Times New Roman" w:hAnsi="Times New Roman" w:cs="Times New Roman"/>
          <w:sz w:val="24"/>
          <w:szCs w:val="24"/>
          <w:lang w:val="en-US"/>
        </w:rPr>
        <w:t>to maritime community and</w:t>
      </w:r>
      <w:r w:rsidRPr="00A15C63">
        <w:rPr>
          <w:rFonts w:ascii="Times New Roman" w:eastAsia="Times New Roman" w:hAnsi="Times New Roman" w:cs="Times New Roman"/>
          <w:spacing w:val="-6"/>
          <w:sz w:val="24"/>
          <w:szCs w:val="24"/>
          <w:lang w:val="en-US"/>
        </w:rPr>
        <w:t xml:space="preserve"> </w:t>
      </w:r>
      <w:r w:rsidRPr="00A15C63">
        <w:rPr>
          <w:rFonts w:ascii="Times New Roman" w:eastAsia="Times New Roman" w:hAnsi="Times New Roman" w:cs="Times New Roman"/>
          <w:sz w:val="24"/>
          <w:szCs w:val="24"/>
          <w:lang w:val="en-US"/>
        </w:rPr>
        <w:t>environment;</w:t>
      </w:r>
    </w:p>
    <w:p w:rsidR="00770C1A" w:rsidRPr="00A15C63" w:rsidRDefault="00770C1A" w:rsidP="00770C1A">
      <w:pPr>
        <w:widowControl w:val="0"/>
        <w:spacing w:before="197" w:line="276" w:lineRule="auto"/>
        <w:ind w:left="101" w:right="-1" w:firstLine="2"/>
        <w:jc w:val="both"/>
        <w:rPr>
          <w:rFonts w:ascii="Times New Roman" w:hAnsi="Times New Roman" w:cs="Times New Roman"/>
          <w:sz w:val="24"/>
          <w:szCs w:val="24"/>
          <w:lang w:val="en-US" w:eastAsia="ko-KR"/>
        </w:rPr>
      </w:pPr>
      <w:r w:rsidRPr="00A15C63">
        <w:rPr>
          <w:rFonts w:ascii="Times New Roman" w:eastAsia="Times New Roman" w:hAnsi="Times New Roman" w:cs="Times New Roman"/>
          <w:b/>
          <w:sz w:val="24"/>
          <w:szCs w:val="24"/>
          <w:lang w:val="en-US"/>
        </w:rPr>
        <w:t xml:space="preserve">Emphasising </w:t>
      </w:r>
      <w:r w:rsidRPr="00A15C63">
        <w:rPr>
          <w:rFonts w:ascii="Times New Roman" w:eastAsia="Times New Roman" w:hAnsi="Times New Roman" w:cs="Times New Roman"/>
          <w:sz w:val="24"/>
          <w:szCs w:val="24"/>
          <w:lang w:val="en-US"/>
        </w:rPr>
        <w:t>that historical lighthouses are a unique and important symbol of a globally-shared maritime heritage and hold great significance to local and national communities as well as being a clear demonstration of an effective global collaboration of the best contemporary material and technological sciences;</w:t>
      </w:r>
    </w:p>
    <w:p w:rsidR="00770C1A" w:rsidRPr="00F76AF1" w:rsidRDefault="00770C1A" w:rsidP="00770C1A">
      <w:pPr>
        <w:widowControl w:val="0"/>
        <w:spacing w:before="197" w:line="276" w:lineRule="auto"/>
        <w:ind w:left="101" w:right="-1" w:firstLine="2"/>
        <w:jc w:val="both"/>
        <w:rPr>
          <w:rFonts w:ascii="Times New Roman" w:eastAsia="Times New Roman" w:hAnsi="Times New Roman" w:cs="Times New Roman"/>
          <w:sz w:val="24"/>
          <w:szCs w:val="24"/>
          <w:lang w:val="en-US"/>
        </w:rPr>
      </w:pPr>
      <w:r w:rsidRPr="00F76AF1">
        <w:rPr>
          <w:rFonts w:ascii="Times New Roman" w:eastAsia="Times New Roman" w:hAnsi="Times New Roman" w:cs="Times New Roman"/>
          <w:b/>
          <w:sz w:val="24"/>
          <w:szCs w:val="24"/>
          <w:lang w:val="en-US"/>
        </w:rPr>
        <w:t xml:space="preserve">Understanding </w:t>
      </w:r>
      <w:r w:rsidRPr="00A15C63">
        <w:rPr>
          <w:rFonts w:ascii="Times New Roman" w:eastAsia="Times New Roman" w:hAnsi="Times New Roman" w:cs="Times New Roman"/>
          <w:sz w:val="24"/>
          <w:szCs w:val="24"/>
          <w:lang w:val="en-US"/>
        </w:rPr>
        <w:t>that</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the</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cultural</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heritage</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of</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lighthouses</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is</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a</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meaningful</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legacy</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that</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we</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live</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with</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today and that we pass on to future generations; this cultural heritage includes but is not limited to navigational, technological, material, industrial, social, environmental, architectural, maritime and local aspects and lends itself to education and wider cultural and commercial</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activities;</w:t>
      </w:r>
    </w:p>
    <w:p w:rsidR="00770C1A" w:rsidRPr="00F76AF1" w:rsidRDefault="00770C1A" w:rsidP="00770C1A">
      <w:pPr>
        <w:widowControl w:val="0"/>
        <w:spacing w:before="197" w:line="276" w:lineRule="auto"/>
        <w:ind w:left="101" w:right="-1" w:firstLine="2"/>
        <w:jc w:val="both"/>
        <w:rPr>
          <w:rFonts w:ascii="Times New Roman" w:eastAsia="Times New Roman" w:hAnsi="Times New Roman" w:cs="Times New Roman"/>
          <w:sz w:val="24"/>
          <w:szCs w:val="24"/>
          <w:lang w:val="en-US"/>
        </w:rPr>
      </w:pPr>
      <w:r w:rsidRPr="00F76AF1">
        <w:rPr>
          <w:rFonts w:ascii="Times New Roman" w:eastAsia="Times New Roman" w:hAnsi="Times New Roman" w:cs="Times New Roman"/>
          <w:b/>
          <w:sz w:val="24"/>
          <w:szCs w:val="24"/>
          <w:lang w:val="en-US"/>
        </w:rPr>
        <w:t>Noting</w:t>
      </w:r>
      <w:r w:rsidRPr="00F76AF1">
        <w:rPr>
          <w:rFonts w:ascii="Times New Roman" w:eastAsia="Times New Roman" w:hAnsi="Times New Roman" w:cs="Times New Roman"/>
          <w:sz w:val="24"/>
          <w:szCs w:val="24"/>
          <w:lang w:val="en-US"/>
        </w:rPr>
        <w:t xml:space="preserve"> </w:t>
      </w:r>
      <w:r w:rsidRPr="00A15C63">
        <w:rPr>
          <w:rFonts w:ascii="Times New Roman" w:eastAsia="Times New Roman" w:hAnsi="Times New Roman" w:cs="Times New Roman"/>
          <w:sz w:val="24"/>
          <w:szCs w:val="24"/>
          <w:lang w:val="en-US"/>
        </w:rPr>
        <w:t>the lighthouse’s vital role in the safe navigation of shipping over the centuries and its value to the seafarers and others as a symbol of hope and safety;</w:t>
      </w:r>
    </w:p>
    <w:p w:rsidR="00770C1A" w:rsidRPr="00693329" w:rsidRDefault="00770C1A" w:rsidP="00770C1A">
      <w:pPr>
        <w:widowControl w:val="0"/>
        <w:spacing w:before="197" w:line="276" w:lineRule="auto"/>
        <w:ind w:left="101" w:right="-1" w:firstLine="2"/>
        <w:jc w:val="both"/>
        <w:rPr>
          <w:rFonts w:ascii="Times New Roman" w:eastAsia="Times New Roman" w:hAnsi="Times New Roman" w:cs="Times New Roman"/>
          <w:sz w:val="24"/>
          <w:szCs w:val="24"/>
          <w:lang w:val="en-US"/>
        </w:rPr>
      </w:pPr>
      <w:r w:rsidRPr="00F76AF1">
        <w:rPr>
          <w:rFonts w:ascii="Times New Roman" w:eastAsia="Times New Roman" w:hAnsi="Times New Roman" w:cs="Times New Roman"/>
          <w:b/>
          <w:sz w:val="24"/>
          <w:szCs w:val="24"/>
          <w:lang w:val="en-US"/>
        </w:rPr>
        <w:t>Having</w:t>
      </w:r>
      <w:r w:rsidRPr="00F76AF1">
        <w:rPr>
          <w:rFonts w:ascii="Times New Roman" w:eastAsia="Times New Roman" w:hAnsi="Times New Roman" w:cs="Times New Roman"/>
          <w:sz w:val="24"/>
          <w:szCs w:val="24"/>
          <w:lang w:val="en-US"/>
        </w:rPr>
        <w:t xml:space="preserve"> </w:t>
      </w:r>
      <w:r w:rsidRPr="00693329">
        <w:rPr>
          <w:rFonts w:ascii="Times New Roman" w:eastAsia="Times New Roman" w:hAnsi="Times New Roman" w:cs="Times New Roman"/>
          <w:sz w:val="24"/>
          <w:szCs w:val="24"/>
          <w:lang w:val="en-US"/>
        </w:rPr>
        <w:t>discussed a vision for the conservation and sustainable management of historical lighthouses as cultural heritage;</w:t>
      </w:r>
    </w:p>
    <w:p w:rsidR="00770C1A" w:rsidRPr="00693329" w:rsidRDefault="00770C1A" w:rsidP="00770C1A">
      <w:pPr>
        <w:widowControl w:val="0"/>
        <w:ind w:right="-1"/>
        <w:rPr>
          <w:rFonts w:ascii="Times New Roman" w:eastAsia="Times New Roman" w:hAnsi="Times New Roman" w:cs="Times New Roman"/>
          <w:sz w:val="24"/>
          <w:szCs w:val="24"/>
          <w:lang w:val="en-US"/>
        </w:rPr>
      </w:pPr>
    </w:p>
    <w:p w:rsidR="00770C1A" w:rsidRDefault="00770C1A" w:rsidP="00770C1A">
      <w:pPr>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br w:type="page"/>
      </w:r>
    </w:p>
    <w:p w:rsidR="00770C1A" w:rsidRPr="00693329" w:rsidRDefault="00770C1A" w:rsidP="00770C1A">
      <w:pPr>
        <w:widowControl w:val="0"/>
        <w:spacing w:before="199"/>
        <w:ind w:right="-1"/>
        <w:outlineLvl w:val="0"/>
        <w:rPr>
          <w:rFonts w:ascii="Times New Roman" w:eastAsia="Times New Roman" w:hAnsi="Times New Roman" w:cs="Times New Roman"/>
          <w:b/>
          <w:bCs/>
          <w:sz w:val="24"/>
          <w:szCs w:val="24"/>
          <w:lang w:val="en-US"/>
        </w:rPr>
      </w:pPr>
      <w:r w:rsidRPr="00693329">
        <w:rPr>
          <w:rFonts w:ascii="Times New Roman" w:eastAsia="Times New Roman" w:hAnsi="Times New Roman" w:cs="Times New Roman"/>
          <w:b/>
          <w:bCs/>
          <w:sz w:val="24"/>
          <w:szCs w:val="24"/>
          <w:lang w:val="en-US"/>
        </w:rPr>
        <w:lastRenderedPageBreak/>
        <w:t>Declare the following:</w:t>
      </w:r>
    </w:p>
    <w:p w:rsidR="00770C1A" w:rsidRPr="00693329" w:rsidRDefault="00770C1A" w:rsidP="00770C1A">
      <w:pPr>
        <w:widowControl w:val="0"/>
        <w:spacing w:before="10"/>
        <w:ind w:right="-1"/>
        <w:rPr>
          <w:rFonts w:ascii="Times New Roman" w:eastAsia="Times New Roman" w:hAnsi="Times New Roman" w:cs="Times New Roman"/>
          <w:b/>
          <w:sz w:val="20"/>
          <w:szCs w:val="24"/>
          <w:lang w:val="en-US"/>
        </w:rPr>
      </w:pPr>
    </w:p>
    <w:p w:rsidR="00770C1A" w:rsidRPr="00693329" w:rsidRDefault="00770C1A" w:rsidP="00770C1A">
      <w:pPr>
        <w:widowControl w:val="0"/>
        <w:ind w:right="-1"/>
        <w:rPr>
          <w:rFonts w:ascii="Times New Roman" w:eastAsia="Times New Roman" w:hAnsi="Times New Roman" w:cs="Times New Roman"/>
          <w:b/>
          <w:sz w:val="24"/>
          <w:lang w:val="en-US"/>
        </w:rPr>
      </w:pPr>
      <w:r w:rsidRPr="00693329">
        <w:rPr>
          <w:rFonts w:ascii="Times New Roman" w:eastAsia="Times New Roman" w:hAnsi="Times New Roman" w:cs="Times New Roman"/>
          <w:b/>
          <w:sz w:val="24"/>
          <w:lang w:val="en-US"/>
        </w:rPr>
        <w:t>We encourage IALA members to:</w:t>
      </w:r>
    </w:p>
    <w:p w:rsidR="00770C1A" w:rsidRPr="00693329" w:rsidRDefault="00770C1A" w:rsidP="00770C1A">
      <w:pPr>
        <w:widowControl w:val="0"/>
        <w:spacing w:before="7"/>
        <w:ind w:right="-1"/>
        <w:rPr>
          <w:rFonts w:ascii="Times New Roman" w:eastAsia="Times New Roman" w:hAnsi="Times New Roman" w:cs="Times New Roman"/>
          <w:b/>
          <w:sz w:val="20"/>
          <w:szCs w:val="24"/>
          <w:lang w:val="en-US"/>
        </w:rPr>
      </w:pPr>
    </w:p>
    <w:p w:rsidR="00770C1A" w:rsidRPr="00693329" w:rsidRDefault="00770C1A" w:rsidP="00A36B6B">
      <w:pPr>
        <w:widowControl w:val="0"/>
        <w:numPr>
          <w:ilvl w:val="0"/>
          <w:numId w:val="18"/>
        </w:numPr>
        <w:tabs>
          <w:tab w:val="left" w:pos="284"/>
        </w:tabs>
        <w:spacing w:line="480" w:lineRule="auto"/>
        <w:ind w:left="283" w:right="-1" w:hangingChars="118" w:hanging="283"/>
        <w:jc w:val="both"/>
        <w:rPr>
          <w:rFonts w:ascii="Times New Roman" w:eastAsia="Times New Roman" w:hAnsi="Times New Roman" w:cs="Times New Roman"/>
          <w:sz w:val="24"/>
          <w:lang w:val="en-US"/>
        </w:rPr>
      </w:pPr>
      <w:r w:rsidRPr="00693329">
        <w:rPr>
          <w:rFonts w:ascii="Times New Roman" w:eastAsia="Times New Roman" w:hAnsi="Times New Roman" w:cs="Times New Roman"/>
          <w:sz w:val="24"/>
          <w:lang w:val="en-US"/>
        </w:rPr>
        <w:t>Raise awareness of the need for the conservation and sustainable management of historical lighthouses as cultural heritage;</w:t>
      </w:r>
    </w:p>
    <w:p w:rsidR="00770C1A" w:rsidRPr="00693329" w:rsidRDefault="00770C1A" w:rsidP="00A36B6B">
      <w:pPr>
        <w:widowControl w:val="0"/>
        <w:numPr>
          <w:ilvl w:val="0"/>
          <w:numId w:val="18"/>
        </w:numPr>
        <w:tabs>
          <w:tab w:val="left" w:pos="284"/>
        </w:tabs>
        <w:spacing w:line="480" w:lineRule="auto"/>
        <w:ind w:left="283" w:right="-1" w:hangingChars="118" w:hanging="283"/>
        <w:jc w:val="both"/>
        <w:rPr>
          <w:rFonts w:ascii="Times New Roman" w:eastAsia="Times New Roman" w:hAnsi="Times New Roman" w:cs="Times New Roman"/>
          <w:sz w:val="24"/>
          <w:lang w:val="en-US"/>
        </w:rPr>
      </w:pPr>
      <w:r w:rsidRPr="00693329">
        <w:rPr>
          <w:rFonts w:ascii="Times New Roman" w:eastAsia="Times New Roman" w:hAnsi="Times New Roman" w:cs="Times New Roman"/>
          <w:sz w:val="24"/>
          <w:lang w:val="en-US"/>
        </w:rPr>
        <w:t>Recognise that the significance of historical lighthouses extends beyond the navigational and architectural value to include maritime culture and history, social history, environmental aspects that there is great value in documenting, researching and interpreting these for the benefit and inspiration of future generations;</w:t>
      </w:r>
    </w:p>
    <w:p w:rsidR="00770C1A" w:rsidRPr="00693329" w:rsidRDefault="00770C1A" w:rsidP="00A36B6B">
      <w:pPr>
        <w:widowControl w:val="0"/>
        <w:numPr>
          <w:ilvl w:val="0"/>
          <w:numId w:val="18"/>
        </w:numPr>
        <w:tabs>
          <w:tab w:val="left" w:pos="284"/>
        </w:tabs>
        <w:spacing w:line="480" w:lineRule="auto"/>
        <w:ind w:left="283" w:right="-1" w:hangingChars="118" w:hanging="283"/>
        <w:jc w:val="both"/>
        <w:rPr>
          <w:rFonts w:ascii="Times New Roman" w:eastAsia="Times New Roman" w:hAnsi="Times New Roman" w:cs="Times New Roman"/>
          <w:sz w:val="24"/>
          <w:lang w:val="en-US"/>
        </w:rPr>
      </w:pPr>
      <w:r w:rsidRPr="00693329">
        <w:rPr>
          <w:rFonts w:ascii="Times New Roman" w:eastAsia="Times New Roman" w:hAnsi="Times New Roman" w:cs="Times New Roman"/>
          <w:sz w:val="24"/>
          <w:lang w:val="en-US"/>
        </w:rPr>
        <w:t>Conserve and develop historical lighthouse sites and associated maritime cultural spaces in order that people of all ages and backgrounds can appreciate and enjoy their respective nations’ maritime contribution and culture;</w:t>
      </w:r>
    </w:p>
    <w:p w:rsidR="00770C1A" w:rsidRPr="00693329" w:rsidRDefault="00770C1A" w:rsidP="00A36B6B">
      <w:pPr>
        <w:widowControl w:val="0"/>
        <w:numPr>
          <w:ilvl w:val="0"/>
          <w:numId w:val="18"/>
        </w:numPr>
        <w:tabs>
          <w:tab w:val="left" w:pos="284"/>
        </w:tabs>
        <w:spacing w:line="480" w:lineRule="auto"/>
        <w:ind w:left="283" w:right="-1" w:hangingChars="118" w:hanging="283"/>
        <w:jc w:val="both"/>
        <w:rPr>
          <w:rFonts w:ascii="Times New Roman" w:eastAsia="Times New Roman" w:hAnsi="Times New Roman" w:cs="Times New Roman"/>
          <w:sz w:val="24"/>
          <w:lang w:val="en-US"/>
        </w:rPr>
      </w:pPr>
      <w:r w:rsidRPr="00693329">
        <w:rPr>
          <w:rFonts w:ascii="Times New Roman" w:eastAsia="Times New Roman" w:hAnsi="Times New Roman" w:cs="Times New Roman"/>
          <w:sz w:val="24"/>
          <w:lang w:val="en-US"/>
        </w:rPr>
        <w:t>Support IALA’s efforts to further sustainable lighthouse management through knowledge sharing, training and international cooperation projects; this will strengthen the capacity of coastal nations to manage their lighthouses in a coordinated manner and will encourage good conservation practices and foster interest in lighthouse heritage globally;</w:t>
      </w:r>
    </w:p>
    <w:p w:rsidR="00770C1A" w:rsidRPr="00F76AF1" w:rsidRDefault="00770C1A" w:rsidP="00A36B6B">
      <w:pPr>
        <w:widowControl w:val="0"/>
        <w:numPr>
          <w:ilvl w:val="0"/>
          <w:numId w:val="18"/>
        </w:numPr>
        <w:tabs>
          <w:tab w:val="left" w:pos="284"/>
        </w:tabs>
        <w:spacing w:line="480" w:lineRule="auto"/>
        <w:ind w:left="283" w:right="-1" w:hangingChars="118" w:hanging="283"/>
        <w:jc w:val="both"/>
        <w:rPr>
          <w:rFonts w:ascii="Times New Roman" w:eastAsia="Times New Roman" w:hAnsi="Times New Roman" w:cs="Times New Roman"/>
          <w:sz w:val="24"/>
          <w:lang w:val="en-US"/>
        </w:rPr>
      </w:pPr>
      <w:r w:rsidRPr="00693329">
        <w:rPr>
          <w:rFonts w:ascii="Times New Roman" w:eastAsia="Times New Roman" w:hAnsi="Times New Roman" w:cs="Times New Roman"/>
          <w:sz w:val="24"/>
          <w:lang w:val="en-US"/>
        </w:rPr>
        <w:t>Note the launch of the Incheon Project aimed at supporting IALA and its World-Wide Academy, providing assistance to developing nations through education, training and capacity building, as an important legacy of the 19</w:t>
      </w:r>
      <w:r w:rsidRPr="00F76AF1">
        <w:rPr>
          <w:rFonts w:ascii="Times New Roman" w:hAnsi="Times New Roman" w:cs="Times New Roman" w:hint="eastAsia"/>
          <w:sz w:val="24"/>
          <w:vertAlign w:val="superscript"/>
          <w:lang w:val="en-US" w:eastAsia="ko-KR"/>
        </w:rPr>
        <w:t>th</w:t>
      </w:r>
      <w:r>
        <w:rPr>
          <w:rFonts w:ascii="Times New Roman" w:hAnsi="Times New Roman" w:cs="Times New Roman" w:hint="eastAsia"/>
          <w:sz w:val="24"/>
          <w:lang w:val="en-US" w:eastAsia="ko-KR"/>
        </w:rPr>
        <w:t xml:space="preserve"> </w:t>
      </w:r>
      <w:r w:rsidRPr="00693329">
        <w:rPr>
          <w:rFonts w:ascii="Times New Roman" w:eastAsia="Times New Roman" w:hAnsi="Times New Roman" w:cs="Times New Roman"/>
          <w:sz w:val="24"/>
          <w:lang w:val="en-US"/>
        </w:rPr>
        <w:t xml:space="preserve"> IALA Conference Incheon Korea 2018.</w:t>
      </w:r>
    </w:p>
    <w:p w:rsidR="00770C1A" w:rsidRDefault="00770C1A" w:rsidP="00770C1A">
      <w:pPr>
        <w:rPr>
          <w:b/>
          <w:i/>
          <w:color w:val="407EC9"/>
          <w:sz w:val="28"/>
          <w:u w:val="single"/>
          <w:lang w:val="en-US"/>
        </w:rPr>
      </w:pPr>
      <w:r>
        <w:rPr>
          <w:caps/>
          <w:lang w:val="en-US"/>
        </w:rPr>
        <w:br w:type="page"/>
      </w:r>
    </w:p>
    <w:p w:rsidR="00770C1A" w:rsidRPr="00E81EE5" w:rsidRDefault="00770C1A" w:rsidP="00A36B6B">
      <w:pPr>
        <w:pStyle w:val="Annex"/>
        <w:rPr>
          <w:b w:val="0"/>
          <w:i/>
          <w:caps/>
          <w:lang w:eastAsia="ko-KR"/>
        </w:rPr>
      </w:pPr>
      <w:r w:rsidRPr="00E81EE5">
        <w:rPr>
          <w:rFonts w:hint="eastAsia"/>
          <w:b w:val="0"/>
          <w:i/>
        </w:rPr>
        <w:lastRenderedPageBreak/>
        <w:t>Proposed Time frame</w:t>
      </w:r>
      <w:r w:rsidRPr="00E81EE5">
        <w:rPr>
          <w:rFonts w:hint="eastAsia"/>
          <w:b w:val="0"/>
          <w:i/>
          <w:lang w:eastAsia="ko-KR"/>
        </w:rPr>
        <w:t xml:space="preserve"> </w:t>
      </w:r>
    </w:p>
    <w:tbl>
      <w:tblPr>
        <w:tblW w:w="9716" w:type="dxa"/>
        <w:tblLayout w:type="fixed"/>
        <w:tblCellMar>
          <w:left w:w="99" w:type="dxa"/>
          <w:right w:w="99" w:type="dxa"/>
        </w:tblCellMar>
        <w:tblLook w:val="04A0" w:firstRow="1" w:lastRow="0" w:firstColumn="1" w:lastColumn="0" w:noHBand="0" w:noVBand="1"/>
      </w:tblPr>
      <w:tblGrid>
        <w:gridCol w:w="1665"/>
        <w:gridCol w:w="484"/>
        <w:gridCol w:w="486"/>
        <w:gridCol w:w="417"/>
        <w:gridCol w:w="416"/>
        <w:gridCol w:w="416"/>
        <w:gridCol w:w="416"/>
        <w:gridCol w:w="417"/>
        <w:gridCol w:w="416"/>
        <w:gridCol w:w="416"/>
        <w:gridCol w:w="444"/>
        <w:gridCol w:w="431"/>
        <w:gridCol w:w="416"/>
        <w:gridCol w:w="446"/>
        <w:gridCol w:w="390"/>
        <w:gridCol w:w="416"/>
        <w:gridCol w:w="416"/>
        <w:gridCol w:w="417"/>
        <w:gridCol w:w="416"/>
        <w:gridCol w:w="375"/>
      </w:tblGrid>
      <w:tr w:rsidR="00770C1A" w:rsidRPr="001978C7" w:rsidTr="00377460">
        <w:trPr>
          <w:trHeight w:val="354"/>
        </w:trPr>
        <w:tc>
          <w:tcPr>
            <w:tcW w:w="1665" w:type="dxa"/>
            <w:vMerge w:val="restart"/>
            <w:tcBorders>
              <w:top w:val="single" w:sz="8" w:space="0" w:color="000000"/>
              <w:left w:val="single" w:sz="8" w:space="0" w:color="000000"/>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Activity</w:t>
            </w:r>
          </w:p>
        </w:tc>
        <w:tc>
          <w:tcPr>
            <w:tcW w:w="484" w:type="dxa"/>
            <w:tcBorders>
              <w:top w:val="single" w:sz="8" w:space="0" w:color="000000"/>
              <w:left w:val="nil"/>
              <w:bottom w:val="single" w:sz="8"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‘16</w:t>
            </w:r>
          </w:p>
        </w:tc>
        <w:tc>
          <w:tcPr>
            <w:tcW w:w="5137" w:type="dxa"/>
            <w:gridSpan w:val="12"/>
            <w:tcBorders>
              <w:top w:val="single" w:sz="8" w:space="0" w:color="000000"/>
              <w:left w:val="nil"/>
              <w:bottom w:val="single" w:sz="8"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‘17</w:t>
            </w:r>
          </w:p>
        </w:tc>
        <w:tc>
          <w:tcPr>
            <w:tcW w:w="2430" w:type="dxa"/>
            <w:gridSpan w:val="6"/>
            <w:tcBorders>
              <w:top w:val="single" w:sz="8" w:space="0" w:color="000000"/>
              <w:left w:val="nil"/>
              <w:bottom w:val="single" w:sz="8"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‘18</w:t>
            </w:r>
          </w:p>
        </w:tc>
      </w:tr>
      <w:tr w:rsidR="00770C1A" w:rsidRPr="001978C7" w:rsidTr="00417B42">
        <w:trPr>
          <w:trHeight w:val="354"/>
        </w:trPr>
        <w:tc>
          <w:tcPr>
            <w:tcW w:w="1665" w:type="dxa"/>
            <w:vMerge/>
            <w:tcBorders>
              <w:top w:val="single" w:sz="8" w:space="0" w:color="000000"/>
              <w:left w:val="single" w:sz="8" w:space="0" w:color="000000"/>
              <w:bottom w:val="double" w:sz="6" w:space="0" w:color="000000"/>
              <w:right w:val="single" w:sz="8" w:space="0" w:color="000000"/>
            </w:tcBorders>
            <w:vAlign w:val="center"/>
            <w:hideMark/>
          </w:tcPr>
          <w:p w:rsidR="00770C1A" w:rsidRPr="001978C7" w:rsidRDefault="00770C1A" w:rsidP="00377460">
            <w:pPr>
              <w:rPr>
                <w:rFonts w:ascii="Calibri" w:eastAsia="Malgun Gothic" w:hAnsi="Calibri" w:cs="Gulim"/>
                <w:b/>
                <w:bCs/>
                <w:color w:val="000000"/>
                <w:sz w:val="20"/>
                <w:szCs w:val="20"/>
                <w:lang w:val="en-US" w:eastAsia="ko-KR"/>
              </w:rPr>
            </w:pPr>
          </w:p>
        </w:tc>
        <w:tc>
          <w:tcPr>
            <w:tcW w:w="484"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12</w:t>
            </w:r>
          </w:p>
        </w:tc>
        <w:tc>
          <w:tcPr>
            <w:tcW w:w="48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w:t>
            </w:r>
          </w:p>
        </w:tc>
        <w:tc>
          <w:tcPr>
            <w:tcW w:w="417"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2</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3</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4</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5</w:t>
            </w:r>
          </w:p>
        </w:tc>
        <w:tc>
          <w:tcPr>
            <w:tcW w:w="417"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6</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7</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8</w:t>
            </w:r>
          </w:p>
        </w:tc>
        <w:tc>
          <w:tcPr>
            <w:tcW w:w="444"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9</w:t>
            </w:r>
          </w:p>
        </w:tc>
        <w:tc>
          <w:tcPr>
            <w:tcW w:w="431"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10</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11</w:t>
            </w:r>
          </w:p>
        </w:tc>
        <w:tc>
          <w:tcPr>
            <w:tcW w:w="44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12</w:t>
            </w:r>
          </w:p>
        </w:tc>
        <w:tc>
          <w:tcPr>
            <w:tcW w:w="390"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1</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2</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3</w:t>
            </w:r>
          </w:p>
        </w:tc>
        <w:tc>
          <w:tcPr>
            <w:tcW w:w="417"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4</w:t>
            </w:r>
          </w:p>
        </w:tc>
        <w:tc>
          <w:tcPr>
            <w:tcW w:w="416"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5</w:t>
            </w:r>
          </w:p>
        </w:tc>
        <w:tc>
          <w:tcPr>
            <w:tcW w:w="375" w:type="dxa"/>
            <w:tcBorders>
              <w:top w:val="nil"/>
              <w:left w:val="nil"/>
              <w:bottom w:val="double" w:sz="6" w:space="0" w:color="000000"/>
              <w:right w:val="single" w:sz="8" w:space="0" w:color="000000"/>
            </w:tcBorders>
            <w:shd w:val="clear" w:color="000000" w:fill="EDEDED"/>
            <w:vAlign w:val="center"/>
            <w:hideMark/>
          </w:tcPr>
          <w:p w:rsidR="00770C1A" w:rsidRPr="001978C7" w:rsidRDefault="00770C1A" w:rsidP="00377460">
            <w:pPr>
              <w:jc w:val="cente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6</w:t>
            </w:r>
          </w:p>
        </w:tc>
      </w:tr>
      <w:tr w:rsidR="00770C1A" w:rsidRPr="001978C7" w:rsidTr="00417B42">
        <w:trPr>
          <w:trHeight w:val="339"/>
        </w:trPr>
        <w:tc>
          <w:tcPr>
            <w:tcW w:w="1665" w:type="dxa"/>
            <w:tcBorders>
              <w:top w:val="nil"/>
              <w:left w:val="single" w:sz="8" w:space="0" w:color="000000"/>
              <w:bottom w:val="nil"/>
              <w:right w:val="single" w:sz="8" w:space="0" w:color="000000"/>
            </w:tcBorders>
            <w:shd w:val="clear" w:color="auto" w:fill="auto"/>
            <w:vAlign w:val="center"/>
            <w:hideMark/>
          </w:tcPr>
          <w:p w:rsidR="00770C1A" w:rsidRPr="001978C7" w:rsidRDefault="00770C1A" w:rsidP="00377460">
            <w:pPr>
              <w:rPr>
                <w:rFonts w:ascii="Calibri" w:eastAsia="Malgun Gothic" w:hAnsi="Calibri" w:cs="Gulim"/>
                <w:b/>
                <w:bCs/>
                <w:color w:val="FF0000"/>
                <w:sz w:val="20"/>
                <w:szCs w:val="20"/>
                <w:lang w:val="en-US" w:eastAsia="ko-KR"/>
              </w:rPr>
            </w:pPr>
            <w:r w:rsidRPr="001978C7">
              <w:rPr>
                <w:rFonts w:ascii="Calibri" w:eastAsia="Malgun Gothic" w:hAnsi="Calibri" w:cs="Gulim"/>
                <w:b/>
                <w:bCs/>
                <w:color w:val="FF0000"/>
                <w:sz w:val="20"/>
                <w:szCs w:val="20"/>
                <w:lang w:eastAsia="ko-KR"/>
              </w:rPr>
              <w:t>2</w:t>
            </w:r>
            <w:r w:rsidRPr="001978C7">
              <w:rPr>
                <w:rFonts w:ascii="Calibri" w:eastAsia="Malgun Gothic" w:hAnsi="Calibri" w:cs="Gulim"/>
                <w:b/>
                <w:bCs/>
                <w:color w:val="FF0000"/>
                <w:sz w:val="20"/>
                <w:szCs w:val="20"/>
                <w:vertAlign w:val="superscript"/>
                <w:lang w:eastAsia="ko-KR"/>
              </w:rPr>
              <w:t>nd</w:t>
            </w:r>
            <w:r w:rsidRPr="001978C7">
              <w:rPr>
                <w:rFonts w:ascii="Calibri" w:eastAsia="Malgun Gothic" w:hAnsi="Calibri" w:cs="Gulim"/>
                <w:b/>
                <w:bCs/>
                <w:color w:val="FF0000"/>
                <w:sz w:val="20"/>
                <w:szCs w:val="20"/>
                <w:lang w:eastAsia="ko-KR"/>
              </w:rPr>
              <w:t xml:space="preserve"> Committee</w:t>
            </w:r>
          </w:p>
        </w:tc>
        <w:tc>
          <w:tcPr>
            <w:tcW w:w="4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8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31" w:type="dxa"/>
            <w:vMerge w:val="restart"/>
            <w:tcBorders>
              <w:top w:val="nil"/>
              <w:left w:val="single" w:sz="8" w:space="0" w:color="000000"/>
              <w:bottom w:val="single" w:sz="8" w:space="0" w:color="000000"/>
              <w:right w:val="single" w:sz="8" w:space="0" w:color="000000"/>
            </w:tcBorders>
            <w:shd w:val="clear" w:color="000000" w:fill="E7E6E6"/>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9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r>
      <w:tr w:rsidR="00770C1A" w:rsidRPr="001978C7" w:rsidTr="00417B42">
        <w:trPr>
          <w:trHeight w:val="354"/>
        </w:trPr>
        <w:tc>
          <w:tcPr>
            <w:tcW w:w="1665" w:type="dxa"/>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b/>
                <w:bCs/>
                <w:color w:val="FF0000"/>
                <w:sz w:val="20"/>
                <w:szCs w:val="20"/>
                <w:lang w:val="en-US" w:eastAsia="ko-KR"/>
              </w:rPr>
            </w:pPr>
            <w:r w:rsidRPr="001978C7">
              <w:rPr>
                <w:rFonts w:ascii="Calibri" w:eastAsia="Malgun Gothic" w:hAnsi="Calibri" w:cs="Gulim"/>
                <w:b/>
                <w:bCs/>
                <w:color w:val="FF0000"/>
                <w:sz w:val="20"/>
                <w:szCs w:val="20"/>
                <w:lang w:eastAsia="ko-KR"/>
              </w:rPr>
              <w:t>(IALA ENG7)</w:t>
            </w:r>
          </w:p>
        </w:tc>
        <w:tc>
          <w:tcPr>
            <w:tcW w:w="48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8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31"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90"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75"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r>
      <w:tr w:rsidR="00770C1A" w:rsidRPr="001978C7" w:rsidTr="00417B42">
        <w:trPr>
          <w:trHeight w:val="339"/>
        </w:trPr>
        <w:tc>
          <w:tcPr>
            <w:tcW w:w="1665" w:type="dxa"/>
            <w:tcBorders>
              <w:top w:val="nil"/>
              <w:left w:val="single" w:sz="8" w:space="0" w:color="000000"/>
              <w:bottom w:val="nil"/>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Hearing of opinions</w:t>
            </w:r>
          </w:p>
        </w:tc>
        <w:tc>
          <w:tcPr>
            <w:tcW w:w="4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8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31" w:type="dxa"/>
            <w:vMerge w:val="restart"/>
            <w:tcBorders>
              <w:top w:val="nil"/>
              <w:left w:val="single" w:sz="8" w:space="0" w:color="000000"/>
              <w:bottom w:val="single" w:sz="8" w:space="0" w:color="000000"/>
              <w:right w:val="single" w:sz="8" w:space="0" w:color="000000"/>
            </w:tcBorders>
            <w:shd w:val="clear" w:color="000000" w:fill="E7E6E6"/>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9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r>
      <w:tr w:rsidR="00770C1A" w:rsidRPr="001978C7" w:rsidTr="00417B42">
        <w:trPr>
          <w:trHeight w:val="354"/>
        </w:trPr>
        <w:tc>
          <w:tcPr>
            <w:tcW w:w="1665" w:type="dxa"/>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(IALA LAP19)</w:t>
            </w:r>
          </w:p>
        </w:tc>
        <w:tc>
          <w:tcPr>
            <w:tcW w:w="48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8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31"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90"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75"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r>
      <w:tr w:rsidR="00770C1A" w:rsidRPr="001978C7" w:rsidTr="00417B42">
        <w:trPr>
          <w:trHeight w:val="339"/>
        </w:trPr>
        <w:tc>
          <w:tcPr>
            <w:tcW w:w="1665" w:type="dxa"/>
            <w:tcBorders>
              <w:top w:val="nil"/>
              <w:left w:val="single" w:sz="8" w:space="0" w:color="000000"/>
              <w:bottom w:val="nil"/>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Hearing of opinions</w:t>
            </w:r>
          </w:p>
        </w:tc>
        <w:tc>
          <w:tcPr>
            <w:tcW w:w="4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8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31" w:type="dxa"/>
            <w:vMerge w:val="restart"/>
            <w:tcBorders>
              <w:top w:val="nil"/>
              <w:left w:val="single" w:sz="8" w:space="0" w:color="000000"/>
              <w:bottom w:val="single" w:sz="8" w:space="0" w:color="000000"/>
              <w:right w:val="single" w:sz="8" w:space="0" w:color="000000"/>
            </w:tcBorders>
            <w:shd w:val="clear" w:color="000000" w:fill="E7E6E6"/>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9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r>
      <w:tr w:rsidR="00770C1A" w:rsidRPr="001978C7" w:rsidTr="00417B42">
        <w:trPr>
          <w:trHeight w:val="354"/>
        </w:trPr>
        <w:tc>
          <w:tcPr>
            <w:tcW w:w="1665" w:type="dxa"/>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(IALA PAP34)</w:t>
            </w:r>
          </w:p>
        </w:tc>
        <w:tc>
          <w:tcPr>
            <w:tcW w:w="48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8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31"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90"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75"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r>
      <w:tr w:rsidR="00770C1A" w:rsidRPr="001978C7" w:rsidTr="00417B42">
        <w:trPr>
          <w:trHeight w:val="339"/>
        </w:trPr>
        <w:tc>
          <w:tcPr>
            <w:tcW w:w="1665" w:type="dxa"/>
            <w:tcBorders>
              <w:top w:val="nil"/>
              <w:left w:val="single" w:sz="8" w:space="0" w:color="000000"/>
              <w:bottom w:val="nil"/>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Interim report</w:t>
            </w:r>
          </w:p>
        </w:tc>
        <w:tc>
          <w:tcPr>
            <w:tcW w:w="4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8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3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6" w:type="dxa"/>
            <w:vMerge w:val="restart"/>
            <w:tcBorders>
              <w:top w:val="nil"/>
              <w:left w:val="single" w:sz="8" w:space="0" w:color="000000"/>
              <w:bottom w:val="single" w:sz="8" w:space="0" w:color="000000"/>
              <w:right w:val="single" w:sz="8" w:space="0" w:color="000000"/>
            </w:tcBorders>
            <w:shd w:val="clear" w:color="000000" w:fill="E7E6E6"/>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9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r>
      <w:tr w:rsidR="00770C1A" w:rsidRPr="001978C7" w:rsidTr="00417B42">
        <w:trPr>
          <w:trHeight w:val="354"/>
        </w:trPr>
        <w:tc>
          <w:tcPr>
            <w:tcW w:w="1665" w:type="dxa"/>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 xml:space="preserve">(IALA Council 65) </w:t>
            </w:r>
          </w:p>
        </w:tc>
        <w:tc>
          <w:tcPr>
            <w:tcW w:w="48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8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31"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90"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75"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r>
      <w:tr w:rsidR="00770C1A" w:rsidRPr="001978C7" w:rsidTr="00417B42">
        <w:trPr>
          <w:trHeight w:val="339"/>
        </w:trPr>
        <w:tc>
          <w:tcPr>
            <w:tcW w:w="1665" w:type="dxa"/>
            <w:tcBorders>
              <w:top w:val="nil"/>
              <w:left w:val="single" w:sz="8" w:space="0" w:color="000000"/>
              <w:bottom w:val="nil"/>
              <w:right w:val="single" w:sz="8" w:space="0" w:color="000000"/>
            </w:tcBorders>
            <w:shd w:val="clear" w:color="auto" w:fill="auto"/>
            <w:vAlign w:val="center"/>
            <w:hideMark/>
          </w:tcPr>
          <w:p w:rsidR="00770C1A" w:rsidRPr="001978C7" w:rsidRDefault="00770C1A" w:rsidP="00377460">
            <w:pPr>
              <w:rPr>
                <w:rFonts w:ascii="Calibri" w:eastAsia="Malgun Gothic" w:hAnsi="Calibri" w:cs="Gulim"/>
                <w:b/>
                <w:bCs/>
                <w:color w:val="000000"/>
                <w:sz w:val="20"/>
                <w:szCs w:val="20"/>
                <w:lang w:val="en-US" w:eastAsia="ko-KR"/>
              </w:rPr>
            </w:pPr>
            <w:r w:rsidRPr="001978C7">
              <w:rPr>
                <w:rFonts w:ascii="Calibri" w:eastAsia="Malgun Gothic" w:hAnsi="Calibri" w:cs="Gulim"/>
                <w:b/>
                <w:bCs/>
                <w:color w:val="000000"/>
                <w:sz w:val="20"/>
                <w:szCs w:val="20"/>
                <w:lang w:eastAsia="ko-KR"/>
              </w:rPr>
              <w:t>3</w:t>
            </w:r>
            <w:r w:rsidRPr="001978C7">
              <w:rPr>
                <w:rFonts w:ascii="Calibri" w:eastAsia="Malgun Gothic" w:hAnsi="Calibri" w:cs="Gulim"/>
                <w:b/>
                <w:bCs/>
                <w:color w:val="000000"/>
                <w:sz w:val="20"/>
                <w:szCs w:val="20"/>
                <w:vertAlign w:val="superscript"/>
                <w:lang w:eastAsia="ko-KR"/>
              </w:rPr>
              <w:t xml:space="preserve">rd </w:t>
            </w:r>
            <w:r w:rsidRPr="001978C7">
              <w:rPr>
                <w:rFonts w:ascii="Calibri" w:eastAsia="Malgun Gothic" w:hAnsi="Calibri" w:cs="Gulim"/>
                <w:b/>
                <w:bCs/>
                <w:color w:val="000000"/>
                <w:sz w:val="20"/>
                <w:szCs w:val="20"/>
                <w:lang w:eastAsia="ko-KR"/>
              </w:rPr>
              <w:t>Committee</w:t>
            </w:r>
          </w:p>
        </w:tc>
        <w:tc>
          <w:tcPr>
            <w:tcW w:w="4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8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4"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3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9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000000" w:fill="E7E6E6"/>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7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r>
      <w:tr w:rsidR="00770C1A" w:rsidRPr="001978C7" w:rsidTr="00417B42">
        <w:trPr>
          <w:trHeight w:val="354"/>
        </w:trPr>
        <w:tc>
          <w:tcPr>
            <w:tcW w:w="1665" w:type="dxa"/>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(provisional)</w:t>
            </w:r>
          </w:p>
        </w:tc>
        <w:tc>
          <w:tcPr>
            <w:tcW w:w="48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8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31"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90"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75"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r>
      <w:tr w:rsidR="00770C1A" w:rsidRPr="001978C7" w:rsidTr="00417B42">
        <w:trPr>
          <w:trHeight w:val="339"/>
        </w:trPr>
        <w:tc>
          <w:tcPr>
            <w:tcW w:w="1665" w:type="dxa"/>
            <w:tcBorders>
              <w:top w:val="nil"/>
              <w:left w:val="single" w:sz="8" w:space="0" w:color="000000"/>
              <w:bottom w:val="nil"/>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Incheon Declaration</w:t>
            </w:r>
          </w:p>
        </w:tc>
        <w:tc>
          <w:tcPr>
            <w:tcW w:w="48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8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4"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3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4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9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41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c>
          <w:tcPr>
            <w:tcW w:w="375" w:type="dxa"/>
            <w:vMerge w:val="restart"/>
            <w:tcBorders>
              <w:top w:val="nil"/>
              <w:left w:val="single" w:sz="8" w:space="0" w:color="000000"/>
              <w:bottom w:val="single" w:sz="8" w:space="0" w:color="000000"/>
              <w:right w:val="single" w:sz="8" w:space="0" w:color="000000"/>
            </w:tcBorders>
            <w:shd w:val="clear" w:color="000000" w:fill="E7E6E6"/>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val="en-US" w:eastAsia="ko-KR"/>
              </w:rPr>
              <w:t xml:space="preserve">　</w:t>
            </w:r>
          </w:p>
        </w:tc>
      </w:tr>
      <w:tr w:rsidR="00770C1A" w:rsidRPr="001978C7" w:rsidTr="00417B42">
        <w:trPr>
          <w:trHeight w:val="354"/>
        </w:trPr>
        <w:tc>
          <w:tcPr>
            <w:tcW w:w="1665" w:type="dxa"/>
            <w:tcBorders>
              <w:top w:val="nil"/>
              <w:left w:val="single" w:sz="8" w:space="0" w:color="000000"/>
              <w:bottom w:val="single" w:sz="8" w:space="0" w:color="000000"/>
              <w:right w:val="single" w:sz="8" w:space="0" w:color="000000"/>
            </w:tcBorders>
            <w:shd w:val="clear" w:color="auto" w:fill="auto"/>
            <w:vAlign w:val="center"/>
            <w:hideMark/>
          </w:tcPr>
          <w:p w:rsidR="00770C1A" w:rsidRPr="001978C7" w:rsidRDefault="00770C1A" w:rsidP="00377460">
            <w:pPr>
              <w:rPr>
                <w:rFonts w:ascii="Calibri" w:eastAsia="Malgun Gothic" w:hAnsi="Calibri" w:cs="Gulim"/>
                <w:color w:val="000000"/>
                <w:sz w:val="20"/>
                <w:szCs w:val="20"/>
                <w:lang w:val="en-US" w:eastAsia="ko-KR"/>
              </w:rPr>
            </w:pPr>
            <w:r w:rsidRPr="001978C7">
              <w:rPr>
                <w:rFonts w:ascii="Calibri" w:eastAsia="Malgun Gothic" w:hAnsi="Calibri" w:cs="Gulim"/>
                <w:color w:val="000000"/>
                <w:sz w:val="20"/>
                <w:szCs w:val="20"/>
                <w:lang w:eastAsia="ko-KR"/>
              </w:rPr>
              <w:t>(19</w:t>
            </w:r>
            <w:r w:rsidRPr="001978C7">
              <w:rPr>
                <w:rFonts w:ascii="Calibri" w:eastAsia="Malgun Gothic" w:hAnsi="Calibri" w:cs="Gulim"/>
                <w:color w:val="000000"/>
                <w:sz w:val="20"/>
                <w:szCs w:val="20"/>
                <w:vertAlign w:val="superscript"/>
                <w:lang w:eastAsia="ko-KR"/>
              </w:rPr>
              <w:t>th</w:t>
            </w:r>
            <w:r w:rsidRPr="001978C7">
              <w:rPr>
                <w:rFonts w:ascii="Calibri" w:eastAsia="Malgun Gothic" w:hAnsi="Calibri" w:cs="Gulim"/>
                <w:color w:val="000000"/>
                <w:sz w:val="20"/>
                <w:szCs w:val="20"/>
                <w:lang w:eastAsia="ko-KR"/>
              </w:rPr>
              <w:t xml:space="preserve"> IALA Conference)</w:t>
            </w:r>
          </w:p>
        </w:tc>
        <w:tc>
          <w:tcPr>
            <w:tcW w:w="48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8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4"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31"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4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90"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7"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416"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c>
          <w:tcPr>
            <w:tcW w:w="375" w:type="dxa"/>
            <w:vMerge/>
            <w:tcBorders>
              <w:top w:val="nil"/>
              <w:left w:val="single" w:sz="8" w:space="0" w:color="000000"/>
              <w:bottom w:val="single" w:sz="8" w:space="0" w:color="000000"/>
              <w:right w:val="single" w:sz="8" w:space="0" w:color="000000"/>
            </w:tcBorders>
            <w:vAlign w:val="center"/>
            <w:hideMark/>
          </w:tcPr>
          <w:p w:rsidR="00770C1A" w:rsidRPr="001978C7" w:rsidRDefault="00770C1A" w:rsidP="00377460">
            <w:pPr>
              <w:rPr>
                <w:rFonts w:ascii="Calibri" w:eastAsia="Malgun Gothic" w:hAnsi="Calibri" w:cs="Gulim"/>
                <w:color w:val="000000"/>
                <w:sz w:val="20"/>
                <w:szCs w:val="20"/>
                <w:lang w:val="en-US" w:eastAsia="ko-KR"/>
              </w:rPr>
            </w:pPr>
          </w:p>
        </w:tc>
      </w:tr>
    </w:tbl>
    <w:p w:rsidR="004D1D85" w:rsidRPr="007A395D" w:rsidRDefault="004D1D85" w:rsidP="00373D28">
      <w:pPr>
        <w:pStyle w:val="AnnexHeading3"/>
        <w:numPr>
          <w:ilvl w:val="0"/>
          <w:numId w:val="0"/>
        </w:numPr>
        <w:rPr>
          <w:rFonts w:ascii="Calibri" w:hAnsi="Calibri"/>
          <w:lang w:eastAsia="ko-KR"/>
        </w:rPr>
      </w:pPr>
    </w:p>
    <w:sectPr w:rsidR="004D1D85" w:rsidRPr="007A395D" w:rsidSect="0082480E">
      <w:headerReference w:type="default" r:id="rId8"/>
      <w:foot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A60" w:rsidRDefault="00BB7A60" w:rsidP="00362CD9">
      <w:r>
        <w:separator/>
      </w:r>
    </w:p>
    <w:p w:rsidR="00BB7A60" w:rsidRDefault="00BB7A60"/>
    <w:p w:rsidR="00BB7A60" w:rsidRDefault="00BB7A60"/>
  </w:endnote>
  <w:endnote w:type="continuationSeparator" w:id="0">
    <w:p w:rsidR="00BB7A60" w:rsidRDefault="00BB7A60" w:rsidP="00362CD9">
      <w:r>
        <w:continuationSeparator/>
      </w:r>
    </w:p>
    <w:p w:rsidR="00BB7A60" w:rsidRDefault="00BB7A60"/>
    <w:p w:rsidR="00BB7A60" w:rsidRDefault="00BB7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onotype Corsiva">
    <w:panose1 w:val="03010101010201010101"/>
    <w:charset w:val="00"/>
    <w:family w:val="script"/>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Pr="00036B9E" w:rsidRDefault="004D4B1B">
    <w:pPr>
      <w:pStyle w:val="Footer"/>
      <w:rPr>
        <w:rFonts w:ascii="Calibri" w:hAnsi="Calibri"/>
      </w:rPr>
    </w:pPr>
    <w:r w:rsidRPr="00036B9E">
      <w:rPr>
        <w:rFonts w:ascii="Calibri" w:hAnsi="Calibri"/>
        <w:sz w:val="20"/>
        <w:szCs w:val="20"/>
      </w:rPr>
      <w:t>Input paper title</w:t>
    </w:r>
    <w:r w:rsidRPr="00036B9E">
      <w:rPr>
        <w:rFonts w:ascii="Calibri" w:hAnsi="Calibri"/>
      </w:rPr>
      <w:tab/>
    </w:r>
    <w:r w:rsidR="008117C8" w:rsidRPr="00036B9E">
      <w:rPr>
        <w:rFonts w:ascii="Calibri" w:hAnsi="Calibri"/>
      </w:rPr>
      <w:fldChar w:fldCharType="begin"/>
    </w:r>
    <w:r w:rsidRPr="00036B9E">
      <w:rPr>
        <w:rFonts w:ascii="Calibri" w:hAnsi="Calibri"/>
      </w:rPr>
      <w:instrText xml:space="preserve"> PAGE   \* MERGEFORMAT </w:instrText>
    </w:r>
    <w:r w:rsidR="008117C8" w:rsidRPr="00036B9E">
      <w:rPr>
        <w:rFonts w:ascii="Calibri" w:hAnsi="Calibri"/>
      </w:rPr>
      <w:fldChar w:fldCharType="separate"/>
    </w:r>
    <w:r w:rsidR="003D609A">
      <w:rPr>
        <w:rFonts w:ascii="Calibri" w:hAnsi="Calibri"/>
        <w:noProof/>
      </w:rPr>
      <w:t>1</w:t>
    </w:r>
    <w:r w:rsidR="008117C8"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A60" w:rsidRDefault="00BB7A60" w:rsidP="00362CD9">
      <w:r>
        <w:separator/>
      </w:r>
    </w:p>
    <w:p w:rsidR="00BB7A60" w:rsidRDefault="00BB7A60"/>
    <w:p w:rsidR="00BB7A60" w:rsidRDefault="00BB7A60"/>
  </w:footnote>
  <w:footnote w:type="continuationSeparator" w:id="0">
    <w:p w:rsidR="00BB7A60" w:rsidRDefault="00BB7A60" w:rsidP="00362CD9">
      <w:r>
        <w:continuationSeparator/>
      </w:r>
    </w:p>
    <w:p w:rsidR="00BB7A60" w:rsidRDefault="00BB7A60"/>
    <w:p w:rsidR="00BB7A60" w:rsidRDefault="00BB7A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4D4B1B"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D633A99"/>
    <w:multiLevelType w:val="hybridMultilevel"/>
    <w:tmpl w:val="4232E4F4"/>
    <w:lvl w:ilvl="0" w:tplc="DE3E8DF8">
      <w:start w:val="1"/>
      <w:numFmt w:val="decimal"/>
      <w:lvlText w:val="%1"/>
      <w:lvlJc w:val="center"/>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7F44F4B"/>
    <w:multiLevelType w:val="hybridMultilevel"/>
    <w:tmpl w:val="815C35D0"/>
    <w:lvl w:ilvl="0" w:tplc="E7E00186">
      <w:start w:val="1"/>
      <w:numFmt w:val="decimal"/>
      <w:lvlText w:val="%1."/>
      <w:lvlJc w:val="left"/>
      <w:pPr>
        <w:ind w:left="1760" w:hanging="801"/>
      </w:pPr>
      <w:rPr>
        <w:rFonts w:ascii="Times New Roman" w:eastAsia="Times New Roman" w:hAnsi="Times New Roman" w:cs="Times New Roman" w:hint="default"/>
        <w:spacing w:val="-2"/>
        <w:w w:val="100"/>
        <w:sz w:val="24"/>
        <w:szCs w:val="24"/>
      </w:rPr>
    </w:lvl>
    <w:lvl w:ilvl="1" w:tplc="E0B41C64">
      <w:numFmt w:val="bullet"/>
      <w:lvlText w:val="•"/>
      <w:lvlJc w:val="left"/>
      <w:pPr>
        <w:ind w:left="2674" w:hanging="801"/>
      </w:pPr>
      <w:rPr>
        <w:rFonts w:hint="default"/>
      </w:rPr>
    </w:lvl>
    <w:lvl w:ilvl="2" w:tplc="B226F77A">
      <w:numFmt w:val="bullet"/>
      <w:lvlText w:val="•"/>
      <w:lvlJc w:val="left"/>
      <w:pPr>
        <w:ind w:left="3588" w:hanging="801"/>
      </w:pPr>
      <w:rPr>
        <w:rFonts w:hint="default"/>
      </w:rPr>
    </w:lvl>
    <w:lvl w:ilvl="3" w:tplc="9E14EC8E">
      <w:numFmt w:val="bullet"/>
      <w:lvlText w:val="•"/>
      <w:lvlJc w:val="left"/>
      <w:pPr>
        <w:ind w:left="4503" w:hanging="801"/>
      </w:pPr>
      <w:rPr>
        <w:rFonts w:hint="default"/>
      </w:rPr>
    </w:lvl>
    <w:lvl w:ilvl="4" w:tplc="B198B394">
      <w:numFmt w:val="bullet"/>
      <w:lvlText w:val="•"/>
      <w:lvlJc w:val="left"/>
      <w:pPr>
        <w:ind w:left="5417" w:hanging="801"/>
      </w:pPr>
      <w:rPr>
        <w:rFonts w:hint="default"/>
      </w:rPr>
    </w:lvl>
    <w:lvl w:ilvl="5" w:tplc="CE1E14B8">
      <w:numFmt w:val="bullet"/>
      <w:lvlText w:val="•"/>
      <w:lvlJc w:val="left"/>
      <w:pPr>
        <w:ind w:left="6332" w:hanging="801"/>
      </w:pPr>
      <w:rPr>
        <w:rFonts w:hint="default"/>
      </w:rPr>
    </w:lvl>
    <w:lvl w:ilvl="6" w:tplc="4DCAB284">
      <w:numFmt w:val="bullet"/>
      <w:lvlText w:val="•"/>
      <w:lvlJc w:val="left"/>
      <w:pPr>
        <w:ind w:left="7246" w:hanging="801"/>
      </w:pPr>
      <w:rPr>
        <w:rFonts w:hint="default"/>
      </w:rPr>
    </w:lvl>
    <w:lvl w:ilvl="7" w:tplc="215C349E">
      <w:numFmt w:val="bullet"/>
      <w:lvlText w:val="•"/>
      <w:lvlJc w:val="left"/>
      <w:pPr>
        <w:ind w:left="8161" w:hanging="801"/>
      </w:pPr>
      <w:rPr>
        <w:rFonts w:hint="default"/>
      </w:rPr>
    </w:lvl>
    <w:lvl w:ilvl="8" w:tplc="FCF040A4">
      <w:numFmt w:val="bullet"/>
      <w:lvlText w:val="•"/>
      <w:lvlJc w:val="left"/>
      <w:pPr>
        <w:ind w:left="9075" w:hanging="801"/>
      </w:pPr>
      <w:rPr>
        <w:rFonts w:hint="default"/>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3DA33D8"/>
    <w:multiLevelType w:val="hybridMultilevel"/>
    <w:tmpl w:val="4232E4F4"/>
    <w:lvl w:ilvl="0" w:tplc="DE3E8DF8">
      <w:start w:val="1"/>
      <w:numFmt w:val="decimal"/>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0"/>
  </w:num>
  <w:num w:numId="2">
    <w:abstractNumId w:val="0"/>
  </w:num>
  <w:num w:numId="3">
    <w:abstractNumId w:val="16"/>
  </w:num>
  <w:num w:numId="4">
    <w:abstractNumId w:val="6"/>
  </w:num>
  <w:num w:numId="5">
    <w:abstractNumId w:val="5"/>
  </w:num>
  <w:num w:numId="6">
    <w:abstractNumId w:val="12"/>
  </w:num>
  <w:num w:numId="7">
    <w:abstractNumId w:val="11"/>
  </w:num>
  <w:num w:numId="8">
    <w:abstractNumId w:val="14"/>
  </w:num>
  <w:num w:numId="9">
    <w:abstractNumId w:val="4"/>
  </w:num>
  <w:num w:numId="10">
    <w:abstractNumId w:val="13"/>
  </w:num>
  <w:num w:numId="11">
    <w:abstractNumId w:val="8"/>
  </w:num>
  <w:num w:numId="12">
    <w:abstractNumId w:val="3"/>
  </w:num>
  <w:num w:numId="13">
    <w:abstractNumId w:val="9"/>
  </w:num>
  <w:num w:numId="14">
    <w:abstractNumId w:val="17"/>
  </w:num>
  <w:num w:numId="15">
    <w:abstractNumId w:val="1"/>
  </w:num>
  <w:num w:numId="16">
    <w:abstractNumId w:val="2"/>
  </w:num>
  <w:num w:numId="17">
    <w:abstractNumId w:val="7"/>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5674"/>
    <w:rsid w:val="000005D3"/>
    <w:rsid w:val="000049D8"/>
    <w:rsid w:val="00036B9E"/>
    <w:rsid w:val="00037DF4"/>
    <w:rsid w:val="0004700E"/>
    <w:rsid w:val="00047287"/>
    <w:rsid w:val="00070C13"/>
    <w:rsid w:val="000715C9"/>
    <w:rsid w:val="00084F33"/>
    <w:rsid w:val="000A77A7"/>
    <w:rsid w:val="000B1707"/>
    <w:rsid w:val="000C1B3E"/>
    <w:rsid w:val="000D7C58"/>
    <w:rsid w:val="000E1018"/>
    <w:rsid w:val="0010585B"/>
    <w:rsid w:val="00110AE7"/>
    <w:rsid w:val="00127DB0"/>
    <w:rsid w:val="00137240"/>
    <w:rsid w:val="00145CC2"/>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336CC"/>
    <w:rsid w:val="0033380B"/>
    <w:rsid w:val="00356CD0"/>
    <w:rsid w:val="00362CD9"/>
    <w:rsid w:val="003653E2"/>
    <w:rsid w:val="00367A18"/>
    <w:rsid w:val="00373D28"/>
    <w:rsid w:val="003761CA"/>
    <w:rsid w:val="00380DAF"/>
    <w:rsid w:val="00391ADB"/>
    <w:rsid w:val="003972CE"/>
    <w:rsid w:val="003B28F5"/>
    <w:rsid w:val="003B7B7D"/>
    <w:rsid w:val="003C54CB"/>
    <w:rsid w:val="003C7A2A"/>
    <w:rsid w:val="003D2DC1"/>
    <w:rsid w:val="003D609A"/>
    <w:rsid w:val="003D69D0"/>
    <w:rsid w:val="003F2918"/>
    <w:rsid w:val="003F430E"/>
    <w:rsid w:val="0041088C"/>
    <w:rsid w:val="00417B42"/>
    <w:rsid w:val="00420A38"/>
    <w:rsid w:val="00431B19"/>
    <w:rsid w:val="004520B3"/>
    <w:rsid w:val="004661AD"/>
    <w:rsid w:val="004737B9"/>
    <w:rsid w:val="004D1D85"/>
    <w:rsid w:val="004D3C3A"/>
    <w:rsid w:val="004D4B1B"/>
    <w:rsid w:val="004E1CD1"/>
    <w:rsid w:val="005107EB"/>
    <w:rsid w:val="00521345"/>
    <w:rsid w:val="00526DF0"/>
    <w:rsid w:val="00545CC4"/>
    <w:rsid w:val="00551FFF"/>
    <w:rsid w:val="005607A2"/>
    <w:rsid w:val="0056122B"/>
    <w:rsid w:val="005622DA"/>
    <w:rsid w:val="0057198B"/>
    <w:rsid w:val="00573CFE"/>
    <w:rsid w:val="005969F2"/>
    <w:rsid w:val="00597FAE"/>
    <w:rsid w:val="005B32A3"/>
    <w:rsid w:val="005B7A6E"/>
    <w:rsid w:val="005C0D44"/>
    <w:rsid w:val="005C3A1A"/>
    <w:rsid w:val="005C566C"/>
    <w:rsid w:val="005C7E69"/>
    <w:rsid w:val="005D4961"/>
    <w:rsid w:val="005E262D"/>
    <w:rsid w:val="005F23D3"/>
    <w:rsid w:val="005F7E20"/>
    <w:rsid w:val="00605E43"/>
    <w:rsid w:val="006153BB"/>
    <w:rsid w:val="00650B5D"/>
    <w:rsid w:val="006652C3"/>
    <w:rsid w:val="00670677"/>
    <w:rsid w:val="0067431D"/>
    <w:rsid w:val="00677FAA"/>
    <w:rsid w:val="00681DFF"/>
    <w:rsid w:val="00691FD0"/>
    <w:rsid w:val="00692148"/>
    <w:rsid w:val="006927F1"/>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70C1A"/>
    <w:rsid w:val="00771258"/>
    <w:rsid w:val="0077167C"/>
    <w:rsid w:val="00783FEA"/>
    <w:rsid w:val="007A395D"/>
    <w:rsid w:val="007A60B6"/>
    <w:rsid w:val="007C237D"/>
    <w:rsid w:val="007C346C"/>
    <w:rsid w:val="007C4009"/>
    <w:rsid w:val="007D7171"/>
    <w:rsid w:val="007E09BC"/>
    <w:rsid w:val="0080294B"/>
    <w:rsid w:val="008117C8"/>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C742D"/>
    <w:rsid w:val="008D1694"/>
    <w:rsid w:val="008D4339"/>
    <w:rsid w:val="008D6B44"/>
    <w:rsid w:val="008D79CB"/>
    <w:rsid w:val="008F07BC"/>
    <w:rsid w:val="009165C0"/>
    <w:rsid w:val="0092692B"/>
    <w:rsid w:val="0093354F"/>
    <w:rsid w:val="00943E9C"/>
    <w:rsid w:val="00945C7B"/>
    <w:rsid w:val="00953F4D"/>
    <w:rsid w:val="00960BB8"/>
    <w:rsid w:val="00964F5C"/>
    <w:rsid w:val="009831C0"/>
    <w:rsid w:val="0099161D"/>
    <w:rsid w:val="009B477B"/>
    <w:rsid w:val="009B5263"/>
    <w:rsid w:val="00A0389B"/>
    <w:rsid w:val="00A33AE9"/>
    <w:rsid w:val="00A35999"/>
    <w:rsid w:val="00A36B6B"/>
    <w:rsid w:val="00A446C9"/>
    <w:rsid w:val="00A635D6"/>
    <w:rsid w:val="00A8553A"/>
    <w:rsid w:val="00A930C1"/>
    <w:rsid w:val="00A93AED"/>
    <w:rsid w:val="00AA6009"/>
    <w:rsid w:val="00AE1319"/>
    <w:rsid w:val="00AE144D"/>
    <w:rsid w:val="00AE34BB"/>
    <w:rsid w:val="00B226F2"/>
    <w:rsid w:val="00B274DF"/>
    <w:rsid w:val="00B56BDF"/>
    <w:rsid w:val="00B65812"/>
    <w:rsid w:val="00B85CD6"/>
    <w:rsid w:val="00B90A27"/>
    <w:rsid w:val="00B9554D"/>
    <w:rsid w:val="00BB2B9F"/>
    <w:rsid w:val="00BB7A60"/>
    <w:rsid w:val="00BB7D9E"/>
    <w:rsid w:val="00BC2334"/>
    <w:rsid w:val="00BD3CB8"/>
    <w:rsid w:val="00BD4E6F"/>
    <w:rsid w:val="00BE2265"/>
    <w:rsid w:val="00BF32F0"/>
    <w:rsid w:val="00BF4DCE"/>
    <w:rsid w:val="00C05CE5"/>
    <w:rsid w:val="00C41C57"/>
    <w:rsid w:val="00C6171E"/>
    <w:rsid w:val="00CA6F2C"/>
    <w:rsid w:val="00CB2787"/>
    <w:rsid w:val="00CC2DCC"/>
    <w:rsid w:val="00CF1871"/>
    <w:rsid w:val="00D019CE"/>
    <w:rsid w:val="00D02723"/>
    <w:rsid w:val="00D1133E"/>
    <w:rsid w:val="00D17A34"/>
    <w:rsid w:val="00D26628"/>
    <w:rsid w:val="00D332B3"/>
    <w:rsid w:val="00D52C4F"/>
    <w:rsid w:val="00D55123"/>
    <w:rsid w:val="00D55207"/>
    <w:rsid w:val="00D55B61"/>
    <w:rsid w:val="00D77A4A"/>
    <w:rsid w:val="00D81801"/>
    <w:rsid w:val="00D92B45"/>
    <w:rsid w:val="00D95962"/>
    <w:rsid w:val="00DA5DE4"/>
    <w:rsid w:val="00DC389B"/>
    <w:rsid w:val="00DD6AC2"/>
    <w:rsid w:val="00DE0BED"/>
    <w:rsid w:val="00DE2FEE"/>
    <w:rsid w:val="00E00BE9"/>
    <w:rsid w:val="00E0266B"/>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0CC6"/>
    <w:rsid w:val="00ED36FD"/>
    <w:rsid w:val="00EE4C1D"/>
    <w:rsid w:val="00EF3685"/>
    <w:rsid w:val="00F04350"/>
    <w:rsid w:val="00F133DB"/>
    <w:rsid w:val="00F159EB"/>
    <w:rsid w:val="00F25BF4"/>
    <w:rsid w:val="00F267DB"/>
    <w:rsid w:val="00F36489"/>
    <w:rsid w:val="00F46F6F"/>
    <w:rsid w:val="00F60608"/>
    <w:rsid w:val="00F62217"/>
    <w:rsid w:val="00F66F68"/>
    <w:rsid w:val="00FB17A9"/>
    <w:rsid w:val="00FB527C"/>
    <w:rsid w:val="00FB6967"/>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BFE7A86-8251-40E8-B005-C01771E2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spacing w:before="240" w:after="240"/>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spacing w:before="120" w:after="120"/>
      <w:outlineLvl w:val="3"/>
    </w:pPr>
    <w:rPr>
      <w:szCs w:val="20"/>
      <w:lang w:val="en-US" w:eastAsia="de-DE"/>
    </w:rPr>
  </w:style>
  <w:style w:type="paragraph" w:styleId="Heading5">
    <w:name w:val="heading 5"/>
    <w:basedOn w:val="Normal"/>
    <w:next w:val="Normal"/>
    <w:link w:val="Heading5Char"/>
    <w:rsid w:val="00D332B3"/>
    <w:p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5"/>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1"/>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16"/>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06FB1-6A4A-4A15-92A4-E92ADA22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1119</Words>
  <Characters>6384</Characters>
  <Application>Microsoft Office Word</Application>
  <DocSecurity>0</DocSecurity>
  <Lines>53</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4</cp:revision>
  <cp:lastPrinted>2017-09-28T05:35:00Z</cp:lastPrinted>
  <dcterms:created xsi:type="dcterms:W3CDTF">2017-10-02T03:30:00Z</dcterms:created>
  <dcterms:modified xsi:type="dcterms:W3CDTF">2017-10-05T09:52:00Z</dcterms:modified>
</cp:coreProperties>
</file>